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A" w:rsidRPr="008C4B76" w:rsidRDefault="004108CA">
      <w:pPr>
        <w:pStyle w:val="Heading1"/>
        <w:rPr>
          <w:sz w:val="20"/>
        </w:rPr>
      </w:pPr>
      <w:r w:rsidRPr="008C4B76">
        <w:rPr>
          <w:sz w:val="20"/>
        </w:rPr>
        <w:t>PROCEDURE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pStyle w:val="Heading2"/>
        <w:rPr>
          <w:sz w:val="20"/>
        </w:rPr>
      </w:pPr>
      <w:r w:rsidRPr="008C4B76">
        <w:rPr>
          <w:sz w:val="20"/>
        </w:rPr>
        <w:t>Application</w:t>
      </w:r>
    </w:p>
    <w:p w:rsidR="004108CA" w:rsidRPr="008C4B76" w:rsidRDefault="004108CA">
      <w:pPr>
        <w:rPr>
          <w:rFonts w:ascii="Univers" w:hAnsi="Univers"/>
          <w:b/>
          <w:sz w:val="20"/>
        </w:rPr>
      </w:pPr>
    </w:p>
    <w:p w:rsidR="004108CA" w:rsidRPr="008C4B76" w:rsidRDefault="004108CA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8C4B76">
        <w:rPr>
          <w:sz w:val="20"/>
        </w:rPr>
        <w:t>This procedure shall apply to Ionia County Community Mental Health</w:t>
      </w:r>
      <w:r w:rsidR="00100D60">
        <w:rPr>
          <w:sz w:val="20"/>
        </w:rPr>
        <w:t xml:space="preserve"> Authority</w:t>
      </w:r>
      <w:r w:rsidRPr="008C4B76">
        <w:rPr>
          <w:sz w:val="20"/>
        </w:rPr>
        <w:t xml:space="preserve"> (ICCMH</w:t>
      </w:r>
      <w:r w:rsidR="00100D60">
        <w:rPr>
          <w:sz w:val="20"/>
        </w:rPr>
        <w:t>A</w:t>
      </w:r>
      <w:r w:rsidRPr="008C4B76">
        <w:rPr>
          <w:sz w:val="20"/>
        </w:rPr>
        <w:t>).</w:t>
      </w:r>
    </w:p>
    <w:p w:rsidR="004108CA" w:rsidRPr="008C4B76" w:rsidRDefault="004108CA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4108CA" w:rsidRPr="008C4B76" w:rsidRDefault="004108CA">
      <w:pPr>
        <w:numPr>
          <w:ilvl w:val="0"/>
          <w:numId w:val="7"/>
        </w:numPr>
        <w:rPr>
          <w:rFonts w:ascii="Univers" w:hAnsi="Univers"/>
          <w:b/>
          <w:sz w:val="20"/>
        </w:rPr>
      </w:pPr>
      <w:r w:rsidRPr="008C4B76">
        <w:rPr>
          <w:rFonts w:ascii="Univers" w:hAnsi="Univers"/>
          <w:b/>
          <w:sz w:val="20"/>
        </w:rPr>
        <w:t>Intent</w:t>
      </w:r>
    </w:p>
    <w:p w:rsidR="004108CA" w:rsidRPr="008C4B76" w:rsidRDefault="004108CA">
      <w:pPr>
        <w:rPr>
          <w:rFonts w:ascii="Univers" w:hAnsi="Univers"/>
          <w:b/>
          <w:sz w:val="20"/>
        </w:rPr>
      </w:pPr>
    </w:p>
    <w:p w:rsidR="004108CA" w:rsidRPr="008C4B76" w:rsidRDefault="004108CA">
      <w:pPr>
        <w:ind w:left="720"/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Institute and maintain a process that fairly establishes the financial liability of the responsible party for services received.</w:t>
      </w:r>
    </w:p>
    <w:p w:rsidR="004108CA" w:rsidRPr="008C4B76" w:rsidRDefault="004108CA">
      <w:pPr>
        <w:jc w:val="center"/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0"/>
          <w:numId w:val="7"/>
        </w:numPr>
        <w:rPr>
          <w:rFonts w:ascii="Univers" w:hAnsi="Univers"/>
          <w:b/>
          <w:sz w:val="20"/>
        </w:rPr>
      </w:pPr>
      <w:r w:rsidRPr="008C4B76">
        <w:rPr>
          <w:rFonts w:ascii="Univers" w:hAnsi="Univers"/>
          <w:b/>
          <w:sz w:val="20"/>
        </w:rPr>
        <w:t>Request for Information</w:t>
      </w:r>
    </w:p>
    <w:p w:rsidR="004108CA" w:rsidRPr="008C4B76" w:rsidRDefault="004108CA">
      <w:pPr>
        <w:ind w:left="1440"/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 xml:space="preserve">Every individual seeking </w:t>
      </w:r>
      <w:r w:rsidR="002749F8">
        <w:rPr>
          <w:rFonts w:ascii="Univers" w:hAnsi="Univers"/>
          <w:sz w:val="20"/>
        </w:rPr>
        <w:t>behavioral</w:t>
      </w:r>
      <w:r w:rsidR="002749F8" w:rsidRPr="008C4B76">
        <w:rPr>
          <w:rFonts w:ascii="Univers" w:hAnsi="Univers"/>
          <w:sz w:val="20"/>
        </w:rPr>
        <w:t xml:space="preserve"> </w:t>
      </w:r>
      <w:r w:rsidRPr="008C4B76">
        <w:rPr>
          <w:rFonts w:ascii="Univers" w:hAnsi="Univers"/>
          <w:sz w:val="20"/>
        </w:rPr>
        <w:t>health services shall be requested to provide financial information for the determination of their financial liability as indicated in the Mental Health Code.</w:t>
      </w:r>
      <w:r w:rsidR="00455AF3" w:rsidRPr="008C4B76">
        <w:rPr>
          <w:rFonts w:ascii="Univers" w:hAnsi="Univers"/>
          <w:sz w:val="20"/>
        </w:rPr>
        <w:t xml:space="preserve"> </w:t>
      </w:r>
      <w:r w:rsidRPr="008C4B76">
        <w:rPr>
          <w:rFonts w:ascii="Univers" w:hAnsi="Univers"/>
          <w:sz w:val="20"/>
        </w:rPr>
        <w:t>Information requested shall include any or all of the following:</w:t>
      </w:r>
    </w:p>
    <w:p w:rsidR="004108CA" w:rsidRPr="008C4B76" w:rsidRDefault="004108CA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Most recent state income tax form filed</w:t>
      </w:r>
    </w:p>
    <w:p w:rsidR="004108CA" w:rsidRPr="008C4B76" w:rsidRDefault="004108CA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Recent paycheck stub</w:t>
      </w:r>
    </w:p>
    <w:p w:rsidR="004108CA" w:rsidRPr="008C4B76" w:rsidRDefault="004108CA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Divorce decree section on child health care responsibility</w:t>
      </w:r>
    </w:p>
    <w:p w:rsidR="00455AF3" w:rsidRPr="008C4B76" w:rsidRDefault="00455AF3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Insurance coverage/benefits</w:t>
      </w:r>
    </w:p>
    <w:p w:rsidR="004108CA" w:rsidRPr="008C4B76" w:rsidRDefault="004108CA">
      <w:pPr>
        <w:ind w:left="720"/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 xml:space="preserve">Consumers will be interviewed by the </w:t>
      </w:r>
      <w:r w:rsidR="0085498E">
        <w:rPr>
          <w:rFonts w:ascii="Univers" w:hAnsi="Univers"/>
          <w:sz w:val="20"/>
        </w:rPr>
        <w:t>Ability-to-Pay</w:t>
      </w:r>
      <w:r w:rsidRPr="008C4B76">
        <w:rPr>
          <w:rFonts w:ascii="Univers" w:hAnsi="Univers"/>
          <w:sz w:val="20"/>
        </w:rPr>
        <w:t xml:space="preserve"> Specialist for the gathering of financial and insurance information.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If necessary financial and insurance information is available at time of interview, the consumer will be informed at that time of their ability to pay determination.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Consumers will be given 30 days to provide financial information otherwise they will be liable for full cost of services until such time that they provide the required information.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0"/>
          <w:numId w:val="7"/>
        </w:numPr>
        <w:rPr>
          <w:rFonts w:ascii="Univers" w:hAnsi="Univers"/>
          <w:b/>
          <w:sz w:val="20"/>
        </w:rPr>
      </w:pPr>
      <w:r w:rsidRPr="008C4B76">
        <w:rPr>
          <w:rFonts w:ascii="Univers" w:hAnsi="Univers"/>
          <w:b/>
          <w:sz w:val="20"/>
        </w:rPr>
        <w:t>Request for Redetermination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If a consumer believes the ability to pay determination would cause financial hardship for them, they may request, within 30 days of the determination, a redetermination based upon full financial disclosure.</w:t>
      </w:r>
    </w:p>
    <w:p w:rsidR="004108CA" w:rsidRPr="008C4B76" w:rsidRDefault="004108CA">
      <w:pPr>
        <w:ind w:left="720"/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The consumer may be granted a new ability to pay based upon a redetermination.</w:t>
      </w:r>
      <w:r w:rsidR="00455AF3" w:rsidRPr="008C4B76">
        <w:rPr>
          <w:rFonts w:ascii="Univers" w:hAnsi="Univers"/>
          <w:sz w:val="20"/>
        </w:rPr>
        <w:t xml:space="preserve"> </w:t>
      </w:r>
      <w:r w:rsidRPr="008C4B76">
        <w:rPr>
          <w:rFonts w:ascii="Univers" w:hAnsi="Univers"/>
          <w:sz w:val="20"/>
        </w:rPr>
        <w:t>The redetermination may be equal to or less than the original determination.</w:t>
      </w:r>
      <w:r w:rsidR="00455AF3" w:rsidRPr="008C4B76">
        <w:rPr>
          <w:rFonts w:ascii="Univers" w:hAnsi="Univers"/>
          <w:sz w:val="20"/>
        </w:rPr>
        <w:t xml:space="preserve"> </w:t>
      </w:r>
      <w:r w:rsidRPr="008C4B76">
        <w:rPr>
          <w:rFonts w:ascii="Univers" w:hAnsi="Univers"/>
          <w:sz w:val="20"/>
        </w:rPr>
        <w:t>A consumer will not be assessed the higher amount if the redetermination is higher than the original one.</w:t>
      </w:r>
    </w:p>
    <w:p w:rsidR="004108CA" w:rsidRPr="008C4B76" w:rsidRDefault="004108CA">
      <w:pPr>
        <w:ind w:left="720"/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0"/>
          <w:numId w:val="7"/>
        </w:numPr>
        <w:rPr>
          <w:rFonts w:ascii="Univers" w:hAnsi="Univers"/>
          <w:b/>
          <w:sz w:val="20"/>
        </w:rPr>
      </w:pPr>
      <w:r w:rsidRPr="008C4B76">
        <w:rPr>
          <w:rFonts w:ascii="Univers" w:hAnsi="Univers"/>
          <w:b/>
          <w:sz w:val="20"/>
        </w:rPr>
        <w:t>Annual determination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numPr>
          <w:ilvl w:val="1"/>
          <w:numId w:val="7"/>
        </w:numPr>
        <w:rPr>
          <w:rFonts w:ascii="Univers" w:hAnsi="Univers"/>
          <w:sz w:val="20"/>
        </w:rPr>
      </w:pPr>
      <w:r w:rsidRPr="008C4B76">
        <w:rPr>
          <w:rFonts w:ascii="Univers" w:hAnsi="Univers"/>
          <w:sz w:val="20"/>
        </w:rPr>
        <w:t>Anyone receiving services will have their ability to pay reviewed annually based upon current financial information.</w:t>
      </w:r>
    </w:p>
    <w:p w:rsidR="004108CA" w:rsidRPr="008C4B76" w:rsidRDefault="004108CA">
      <w:pPr>
        <w:rPr>
          <w:rFonts w:ascii="Univers" w:hAnsi="Univers"/>
          <w:sz w:val="20"/>
        </w:rPr>
      </w:pPr>
    </w:p>
    <w:p w:rsidR="004108CA" w:rsidRPr="008C4B76" w:rsidRDefault="004108CA">
      <w:pPr>
        <w:tabs>
          <w:tab w:val="left" w:pos="-720"/>
          <w:tab w:val="left" w:pos="0"/>
        </w:tabs>
        <w:suppressAutoHyphens/>
        <w:jc w:val="both"/>
        <w:rPr>
          <w:rFonts w:ascii="Univers" w:hAnsi="Univers"/>
          <w:spacing w:val="-3"/>
          <w:sz w:val="20"/>
        </w:rPr>
      </w:pPr>
    </w:p>
    <w:p w:rsidR="004108CA" w:rsidRPr="008C4B76" w:rsidRDefault="004108CA">
      <w:pPr>
        <w:tabs>
          <w:tab w:val="left" w:pos="-720"/>
          <w:tab w:val="left" w:pos="0"/>
        </w:tabs>
        <w:suppressAutoHyphens/>
        <w:jc w:val="both"/>
        <w:rPr>
          <w:rFonts w:ascii="Univers" w:hAnsi="Univers"/>
          <w:spacing w:val="-3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810"/>
        <w:gridCol w:w="810"/>
        <w:gridCol w:w="720"/>
      </w:tblGrid>
      <w:tr w:rsidR="004108CA" w:rsidRPr="008C4B76">
        <w:trPr>
          <w:cantSplit/>
        </w:trPr>
        <w:tc>
          <w:tcPr>
            <w:tcW w:w="7128" w:type="dxa"/>
          </w:tcPr>
          <w:p w:rsidR="004108CA" w:rsidRPr="008C4B76" w:rsidRDefault="004108C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4108CA" w:rsidRPr="008C4B76" w:rsidRDefault="004108C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10" w:type="dxa"/>
          </w:tcPr>
          <w:p w:rsidR="004108CA" w:rsidRPr="008C4B76" w:rsidRDefault="004108CA">
            <w:pPr>
              <w:rPr>
                <w:rFonts w:ascii="Univers" w:hAnsi="Univers"/>
                <w:sz w:val="20"/>
              </w:rPr>
            </w:pPr>
          </w:p>
        </w:tc>
        <w:tc>
          <w:tcPr>
            <w:tcW w:w="810" w:type="dxa"/>
          </w:tcPr>
          <w:p w:rsidR="004108CA" w:rsidRPr="008C4B76" w:rsidRDefault="004108CA">
            <w:pPr>
              <w:rPr>
                <w:rFonts w:ascii="Univers" w:hAnsi="Univers"/>
                <w:sz w:val="20"/>
              </w:rPr>
            </w:pPr>
          </w:p>
        </w:tc>
        <w:tc>
          <w:tcPr>
            <w:tcW w:w="720" w:type="dxa"/>
          </w:tcPr>
          <w:p w:rsidR="004108CA" w:rsidRPr="008C4B76" w:rsidRDefault="004108CA">
            <w:pPr>
              <w:rPr>
                <w:rFonts w:ascii="Univers" w:hAnsi="Univers"/>
                <w:sz w:val="20"/>
              </w:rPr>
            </w:pPr>
          </w:p>
        </w:tc>
      </w:tr>
      <w:tr w:rsidR="004108CA" w:rsidRPr="008C4B76">
        <w:tc>
          <w:tcPr>
            <w:tcW w:w="7128" w:type="dxa"/>
          </w:tcPr>
          <w:p w:rsidR="004108CA" w:rsidRPr="008C4B76" w:rsidRDefault="00455AF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8C4B76">
              <w:rPr>
                <w:sz w:val="20"/>
              </w:rPr>
              <w:t>Robert S. Lathers</w:t>
            </w:r>
            <w:r w:rsidR="004108CA" w:rsidRPr="008C4B76">
              <w:rPr>
                <w:sz w:val="20"/>
              </w:rPr>
              <w:t>, Chief Executive Officer</w:t>
            </w:r>
          </w:p>
        </w:tc>
        <w:tc>
          <w:tcPr>
            <w:tcW w:w="2340" w:type="dxa"/>
            <w:gridSpan w:val="3"/>
          </w:tcPr>
          <w:p w:rsidR="004108CA" w:rsidRPr="008C4B76" w:rsidRDefault="004108CA">
            <w:pPr>
              <w:jc w:val="center"/>
              <w:rPr>
                <w:rFonts w:ascii="Univers" w:hAnsi="Univers"/>
                <w:sz w:val="20"/>
              </w:rPr>
            </w:pPr>
            <w:r w:rsidRPr="008C4B76">
              <w:rPr>
                <w:rFonts w:ascii="Univers" w:hAnsi="Univers"/>
                <w:sz w:val="20"/>
              </w:rPr>
              <w:t>Date</w:t>
            </w:r>
          </w:p>
        </w:tc>
      </w:tr>
    </w:tbl>
    <w:p w:rsidR="004108CA" w:rsidRPr="008C4B76" w:rsidRDefault="004108CA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4108CA" w:rsidRPr="008C4B76" w:rsidSect="008C4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540" w:left="1440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88" w:rsidRDefault="00676488">
      <w:r>
        <w:separator/>
      </w:r>
    </w:p>
  </w:endnote>
  <w:endnote w:type="continuationSeparator" w:id="0">
    <w:p w:rsidR="00676488" w:rsidRDefault="0067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F8" w:rsidRDefault="00274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F8" w:rsidRDefault="00274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F8" w:rsidRDefault="00274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88" w:rsidRDefault="00676488">
      <w:r>
        <w:separator/>
      </w:r>
    </w:p>
  </w:footnote>
  <w:footnote w:type="continuationSeparator" w:id="0">
    <w:p w:rsidR="00676488" w:rsidRDefault="0067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F8" w:rsidRDefault="00274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CA" w:rsidRDefault="004108CA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Ionia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</w:smartTag>
    <w:r>
      <w:t xml:space="preserve"> Community Mental Health</w:t>
    </w:r>
  </w:p>
  <w:p w:rsidR="004108CA" w:rsidRDefault="004108CA">
    <w:pPr>
      <w:pStyle w:val="Header"/>
      <w:jc w:val="center"/>
    </w:pPr>
  </w:p>
  <w:tbl>
    <w:tblPr>
      <w:tblW w:w="9900" w:type="dxa"/>
      <w:tblInd w:w="-1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0"/>
      <w:gridCol w:w="1440"/>
      <w:gridCol w:w="1440"/>
      <w:gridCol w:w="1350"/>
    </w:tblGrid>
    <w:tr w:rsidR="008C4B76" w:rsidTr="00B56332"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8C4B76" w:rsidRDefault="008C4B76">
          <w:pPr>
            <w:pStyle w:val="Header"/>
            <w:rPr>
              <w:sz w:val="28"/>
            </w:rPr>
          </w:pPr>
          <w:r>
            <w:t>Chapter Title</w:t>
          </w:r>
        </w:p>
        <w:p w:rsidR="008C4B76" w:rsidRDefault="008C4B76">
          <w:pPr>
            <w:pStyle w:val="Header"/>
            <w:rPr>
              <w:sz w:val="20"/>
            </w:rPr>
          </w:pPr>
        </w:p>
        <w:p w:rsidR="008C4B76" w:rsidRDefault="008C4B76">
          <w:pPr>
            <w:pStyle w:val="Header"/>
            <w:rPr>
              <w:sz w:val="28"/>
            </w:rPr>
          </w:pPr>
          <w:r>
            <w:rPr>
              <w:sz w:val="28"/>
            </w:rPr>
            <w:t>Fiscal Resources</w:t>
          </w:r>
        </w:p>
        <w:p w:rsidR="008C4B76" w:rsidRDefault="008C4B76" w:rsidP="008C4B76">
          <w:pPr>
            <w:pStyle w:val="Header"/>
            <w:rPr>
              <w:sz w:val="28"/>
            </w:rPr>
          </w:pPr>
        </w:p>
      </w:tc>
      <w:tc>
        <w:tcPr>
          <w:tcW w:w="2880" w:type="dxa"/>
          <w:gridSpan w:val="2"/>
          <w:tcBorders>
            <w:top w:val="double" w:sz="4" w:space="0" w:color="auto"/>
            <w:bottom w:val="double" w:sz="4" w:space="0" w:color="auto"/>
          </w:tcBorders>
        </w:tcPr>
        <w:p w:rsidR="008C4B76" w:rsidRDefault="008C4B76">
          <w:pPr>
            <w:pStyle w:val="Header"/>
            <w:jc w:val="center"/>
          </w:pPr>
          <w:r>
            <w:t>Chapter #</w:t>
          </w:r>
        </w:p>
        <w:p w:rsidR="008C4B76" w:rsidRDefault="008C4B76">
          <w:pPr>
            <w:pStyle w:val="Header"/>
            <w:jc w:val="center"/>
            <w:rPr>
              <w:sz w:val="20"/>
            </w:rPr>
          </w:pPr>
        </w:p>
        <w:p w:rsidR="008C4B76" w:rsidRDefault="008C4B76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F</w:t>
          </w:r>
        </w:p>
        <w:p w:rsidR="008C4B76" w:rsidRDefault="008C4B76" w:rsidP="008C4B76">
          <w:pPr>
            <w:pStyle w:val="Header"/>
            <w:jc w:val="center"/>
            <w:rPr>
              <w:sz w:val="20"/>
            </w:rPr>
          </w:pP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8C4B76" w:rsidRDefault="008C4B76">
          <w:pPr>
            <w:pStyle w:val="Header"/>
            <w:jc w:val="center"/>
          </w:pPr>
          <w:r>
            <w:t>Subject #</w:t>
          </w:r>
        </w:p>
        <w:p w:rsidR="008C4B76" w:rsidRDefault="008C4B76">
          <w:pPr>
            <w:pStyle w:val="Header"/>
            <w:jc w:val="center"/>
            <w:rPr>
              <w:sz w:val="20"/>
            </w:rPr>
          </w:pPr>
        </w:p>
        <w:p w:rsidR="008C4B76" w:rsidRDefault="008C4B76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224.1</w:t>
          </w:r>
        </w:p>
        <w:p w:rsidR="008C4B76" w:rsidRDefault="008C4B76">
          <w:pPr>
            <w:pStyle w:val="Header"/>
            <w:rPr>
              <w:sz w:val="28"/>
            </w:rPr>
          </w:pPr>
        </w:p>
      </w:tc>
    </w:tr>
    <w:tr w:rsidR="008C4B76" w:rsidTr="008C4B76">
      <w:trPr>
        <w:cantSplit/>
      </w:trPr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8C4B76" w:rsidRDefault="008C4B76">
          <w:pPr>
            <w:pStyle w:val="Header"/>
          </w:pPr>
          <w:r>
            <w:t>Subject Title</w:t>
          </w:r>
        </w:p>
        <w:p w:rsidR="008C4B76" w:rsidRDefault="008C4B76" w:rsidP="008C4B76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Ability To Pay</w:t>
          </w:r>
        </w:p>
        <w:p w:rsidR="008C4B76" w:rsidRDefault="008C4B76">
          <w:pPr>
            <w:pStyle w:val="Header"/>
            <w:rPr>
              <w:b/>
              <w:sz w:val="20"/>
            </w:rPr>
          </w:pP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8C4B76" w:rsidRDefault="008C4B76" w:rsidP="008C4B76">
          <w:pPr>
            <w:pStyle w:val="Header"/>
            <w:jc w:val="center"/>
          </w:pPr>
          <w:r>
            <w:t>Adopted</w:t>
          </w:r>
        </w:p>
        <w:p w:rsidR="008C4B76" w:rsidRDefault="008C4B76" w:rsidP="008C4B76">
          <w:pPr>
            <w:pStyle w:val="Header"/>
            <w:jc w:val="center"/>
          </w:pPr>
          <w:r>
            <w:t>12/15/99</w:t>
          </w: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8C4B76" w:rsidRDefault="008C4B76">
          <w:pPr>
            <w:pStyle w:val="Header"/>
            <w:jc w:val="center"/>
            <w:rPr>
              <w:sz w:val="20"/>
            </w:rPr>
          </w:pPr>
          <w:r>
            <w:t>Last Revised</w:t>
          </w:r>
        </w:p>
        <w:p w:rsidR="008C4B76" w:rsidRDefault="008C4B76" w:rsidP="008C4B76">
          <w:pPr>
            <w:pStyle w:val="Header"/>
            <w:jc w:val="center"/>
          </w:pPr>
          <w:r>
            <w:t>03/15/05</w:t>
          </w:r>
        </w:p>
        <w:p w:rsidR="002749F8" w:rsidRDefault="002749F8" w:rsidP="008C4B76">
          <w:pPr>
            <w:pStyle w:val="Header"/>
            <w:jc w:val="center"/>
          </w:pPr>
          <w:r>
            <w:t>1/13/15</w:t>
          </w: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8C4B76" w:rsidRDefault="008C4B76">
          <w:pPr>
            <w:pStyle w:val="Header"/>
            <w:jc w:val="center"/>
          </w:pPr>
          <w:r>
            <w:t>Reviewed</w:t>
          </w:r>
        </w:p>
        <w:p w:rsidR="008C4B76" w:rsidRDefault="008C4B76">
          <w:pPr>
            <w:pStyle w:val="Header"/>
            <w:jc w:val="center"/>
          </w:pPr>
          <w:r>
            <w:t>3/15/05</w:t>
          </w:r>
        </w:p>
        <w:p w:rsidR="008C4B76" w:rsidRDefault="008C4B76">
          <w:pPr>
            <w:pStyle w:val="Header"/>
            <w:jc w:val="center"/>
          </w:pPr>
          <w:r>
            <w:t>4/20/10</w:t>
          </w:r>
        </w:p>
        <w:p w:rsidR="00951131" w:rsidRDefault="00951131">
          <w:pPr>
            <w:pStyle w:val="Header"/>
            <w:jc w:val="center"/>
          </w:pPr>
          <w:r>
            <w:t>2/24/14</w:t>
          </w:r>
        </w:p>
        <w:p w:rsidR="002749F8" w:rsidRDefault="002749F8">
          <w:pPr>
            <w:pStyle w:val="Header"/>
            <w:jc w:val="center"/>
          </w:pPr>
          <w:r>
            <w:t>1/13/15</w:t>
          </w:r>
        </w:p>
      </w:tc>
    </w:tr>
  </w:tbl>
  <w:p w:rsidR="004108CA" w:rsidRDefault="004108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F8" w:rsidRDefault="00274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B2"/>
    <w:multiLevelType w:val="multilevel"/>
    <w:tmpl w:val="74D825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1">
    <w:nsid w:val="03965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6B1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F40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FF1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EC7021"/>
    <w:multiLevelType w:val="multilevel"/>
    <w:tmpl w:val="74D825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9241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C333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A75E3F"/>
    <w:multiLevelType w:val="multilevel"/>
    <w:tmpl w:val="B2C6D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4435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BB2EEA"/>
    <w:multiLevelType w:val="multilevel"/>
    <w:tmpl w:val="07B87F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>
    <w:nsid w:val="71C30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D669B2"/>
    <w:multiLevelType w:val="multilevel"/>
    <w:tmpl w:val="572A43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A6"/>
    <w:rsid w:val="00100D60"/>
    <w:rsid w:val="002749F8"/>
    <w:rsid w:val="003620E0"/>
    <w:rsid w:val="004108CA"/>
    <w:rsid w:val="004158DD"/>
    <w:rsid w:val="00435AF3"/>
    <w:rsid w:val="00455AF3"/>
    <w:rsid w:val="0052649A"/>
    <w:rsid w:val="00530905"/>
    <w:rsid w:val="00676488"/>
    <w:rsid w:val="007C4F74"/>
    <w:rsid w:val="0085498E"/>
    <w:rsid w:val="008C4B76"/>
    <w:rsid w:val="00936B39"/>
    <w:rsid w:val="00951131"/>
    <w:rsid w:val="00A41127"/>
    <w:rsid w:val="00A94E9C"/>
    <w:rsid w:val="00AD15A2"/>
    <w:rsid w:val="00B56332"/>
    <w:rsid w:val="00D772A6"/>
    <w:rsid w:val="00E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39"/>
    <w:rPr>
      <w:sz w:val="24"/>
    </w:rPr>
  </w:style>
  <w:style w:type="paragraph" w:styleId="Heading1">
    <w:name w:val="heading 1"/>
    <w:basedOn w:val="Normal"/>
    <w:next w:val="Normal"/>
    <w:qFormat/>
    <w:rsid w:val="00936B39"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936B39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B39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PageNumber">
    <w:name w:val="page number"/>
    <w:basedOn w:val="DefaultParagraphFont"/>
    <w:rsid w:val="00936B39"/>
  </w:style>
  <w:style w:type="paragraph" w:styleId="Footer">
    <w:name w:val="footer"/>
    <w:basedOn w:val="Normal"/>
    <w:rsid w:val="00936B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36B39"/>
    <w:pPr>
      <w:ind w:left="720"/>
    </w:pPr>
    <w:rPr>
      <w:rFonts w:ascii="Univers" w:hAnsi="Univers"/>
    </w:rPr>
  </w:style>
  <w:style w:type="paragraph" w:styleId="BodyTextIndent2">
    <w:name w:val="Body Text Indent 2"/>
    <w:basedOn w:val="Normal"/>
    <w:rsid w:val="00936B39"/>
    <w:pPr>
      <w:ind w:left="2160"/>
    </w:pPr>
    <w:rPr>
      <w:rFonts w:ascii="Univers" w:hAnsi="Univers"/>
    </w:rPr>
  </w:style>
  <w:style w:type="paragraph" w:styleId="BalloonText">
    <w:name w:val="Balloon Text"/>
    <w:basedOn w:val="Normal"/>
    <w:semiHidden/>
    <w:rsid w:val="0045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CMHSIC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CMHSIC</dc:creator>
  <cp:lastModifiedBy>mgolden</cp:lastModifiedBy>
  <cp:revision>2</cp:revision>
  <cp:lastPrinted>2015-01-16T21:56:00Z</cp:lastPrinted>
  <dcterms:created xsi:type="dcterms:W3CDTF">2015-01-16T21:57:00Z</dcterms:created>
  <dcterms:modified xsi:type="dcterms:W3CDTF">2015-01-16T21:57:00Z</dcterms:modified>
</cp:coreProperties>
</file>