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CAD" w:rsidRPr="00F950FD" w:rsidRDefault="00B4524D" w:rsidP="004D2CAD">
      <w:pPr>
        <w:pStyle w:val="Heading1"/>
        <w:tabs>
          <w:tab w:val="left" w:pos="4101"/>
        </w:tabs>
        <w:jc w:val="both"/>
        <w:rPr>
          <w:rFonts w:ascii="Arial" w:hAnsi="Arial" w:cs="Arial"/>
          <w:sz w:val="24"/>
          <w:szCs w:val="24"/>
        </w:rPr>
      </w:pPr>
      <w:r w:rsidRPr="00F950FD">
        <w:rPr>
          <w:rFonts w:ascii="Arial" w:hAnsi="Arial" w:cs="Arial"/>
          <w:sz w:val="24"/>
          <w:szCs w:val="24"/>
        </w:rPr>
        <w:t>PROCEDURE</w:t>
      </w:r>
      <w:r w:rsidR="002A52EA" w:rsidRPr="00F950FD">
        <w:rPr>
          <w:rFonts w:ascii="Arial" w:hAnsi="Arial" w:cs="Arial"/>
          <w:sz w:val="24"/>
          <w:szCs w:val="24"/>
        </w:rPr>
        <w:t xml:space="preserve"> </w:t>
      </w:r>
      <w:r w:rsidR="002001FB" w:rsidRPr="00F950FD">
        <w:rPr>
          <w:rFonts w:ascii="Arial" w:hAnsi="Arial" w:cs="Arial"/>
          <w:sz w:val="24"/>
          <w:szCs w:val="24"/>
        </w:rPr>
        <w:tab/>
      </w:r>
    </w:p>
    <w:p w:rsidR="00B4524D" w:rsidRPr="00F950FD" w:rsidRDefault="00B4524D">
      <w:pPr>
        <w:pStyle w:val="Heading1"/>
        <w:jc w:val="both"/>
        <w:rPr>
          <w:rFonts w:ascii="Arial" w:hAnsi="Arial" w:cs="Arial"/>
          <w:sz w:val="24"/>
          <w:szCs w:val="24"/>
        </w:rPr>
      </w:pPr>
    </w:p>
    <w:p w:rsidR="00B4524D" w:rsidRPr="00F950FD" w:rsidRDefault="00B4524D">
      <w:pPr>
        <w:pStyle w:val="Heading2"/>
        <w:jc w:val="both"/>
        <w:rPr>
          <w:rFonts w:ascii="Arial" w:hAnsi="Arial" w:cs="Arial"/>
          <w:szCs w:val="24"/>
        </w:rPr>
      </w:pPr>
      <w:r w:rsidRPr="00F950FD">
        <w:rPr>
          <w:rFonts w:ascii="Arial" w:hAnsi="Arial" w:cs="Arial"/>
          <w:szCs w:val="24"/>
        </w:rPr>
        <w:t>Application</w:t>
      </w:r>
    </w:p>
    <w:p w:rsidR="00B4524D" w:rsidRPr="00F950FD" w:rsidRDefault="00B4524D">
      <w:pPr>
        <w:jc w:val="both"/>
        <w:rPr>
          <w:rFonts w:ascii="Arial" w:hAnsi="Arial" w:cs="Arial"/>
          <w:b/>
          <w:szCs w:val="24"/>
        </w:rPr>
      </w:pPr>
    </w:p>
    <w:p w:rsidR="00B4524D" w:rsidRDefault="00B4524D">
      <w:pPr>
        <w:pStyle w:val="Header"/>
        <w:tabs>
          <w:tab w:val="clear" w:pos="4320"/>
          <w:tab w:val="clear" w:pos="8640"/>
        </w:tabs>
        <w:jc w:val="both"/>
        <w:rPr>
          <w:rFonts w:ascii="Arial" w:hAnsi="Arial" w:cs="Arial"/>
          <w:szCs w:val="24"/>
        </w:rPr>
      </w:pPr>
      <w:r w:rsidRPr="00F950FD">
        <w:rPr>
          <w:rFonts w:ascii="Arial" w:hAnsi="Arial" w:cs="Arial"/>
          <w:szCs w:val="24"/>
        </w:rPr>
        <w:t xml:space="preserve">This procedure shall apply to the clinical services of Ionia County Community Mental Health </w:t>
      </w:r>
      <w:r w:rsidR="005609E1" w:rsidRPr="00F950FD">
        <w:rPr>
          <w:rFonts w:ascii="Arial" w:hAnsi="Arial" w:cs="Arial"/>
          <w:szCs w:val="24"/>
        </w:rPr>
        <w:t xml:space="preserve">Authority </w:t>
      </w:r>
      <w:r w:rsidRPr="00F950FD">
        <w:rPr>
          <w:rFonts w:ascii="Arial" w:hAnsi="Arial" w:cs="Arial"/>
          <w:szCs w:val="24"/>
        </w:rPr>
        <w:t>(</w:t>
      </w:r>
      <w:r w:rsidR="005609E1" w:rsidRPr="00F950FD">
        <w:rPr>
          <w:rFonts w:ascii="Arial" w:hAnsi="Arial" w:cs="Arial"/>
          <w:szCs w:val="24"/>
        </w:rPr>
        <w:t>ICCMHA</w:t>
      </w:r>
      <w:r w:rsidRPr="00F950FD">
        <w:rPr>
          <w:rFonts w:ascii="Arial" w:hAnsi="Arial" w:cs="Arial"/>
          <w:szCs w:val="24"/>
        </w:rPr>
        <w:t>).</w:t>
      </w:r>
    </w:p>
    <w:p w:rsidR="00F950FD" w:rsidRPr="00F950FD" w:rsidRDefault="00F950FD">
      <w:pPr>
        <w:pStyle w:val="Header"/>
        <w:tabs>
          <w:tab w:val="clear" w:pos="4320"/>
          <w:tab w:val="clear" w:pos="8640"/>
        </w:tabs>
        <w:jc w:val="both"/>
        <w:rPr>
          <w:rFonts w:ascii="Arial" w:hAnsi="Arial" w:cs="Arial"/>
          <w:szCs w:val="24"/>
        </w:rPr>
      </w:pPr>
    </w:p>
    <w:p w:rsidR="004D2CAD" w:rsidRPr="00F950FD" w:rsidRDefault="002A52EA" w:rsidP="00F950FD">
      <w:pPr>
        <w:pStyle w:val="Header"/>
        <w:tabs>
          <w:tab w:val="clear" w:pos="4320"/>
          <w:tab w:val="clear" w:pos="8640"/>
        </w:tabs>
        <w:jc w:val="both"/>
        <w:rPr>
          <w:rFonts w:ascii="Arial" w:hAnsi="Arial" w:cs="Arial"/>
          <w:b/>
          <w:szCs w:val="24"/>
        </w:rPr>
      </w:pPr>
      <w:r w:rsidRPr="00F950FD">
        <w:rPr>
          <w:rFonts w:ascii="Arial" w:hAnsi="Arial" w:cs="Arial"/>
          <w:b/>
          <w:szCs w:val="24"/>
        </w:rPr>
        <w:t>Screening</w:t>
      </w:r>
    </w:p>
    <w:p w:rsidR="004D2CAD" w:rsidRPr="00F950FD" w:rsidRDefault="002A52EA" w:rsidP="004D2CAD">
      <w:pPr>
        <w:tabs>
          <w:tab w:val="left" w:pos="-720"/>
          <w:tab w:val="left" w:pos="720"/>
        </w:tabs>
        <w:suppressAutoHyphens/>
        <w:jc w:val="both"/>
        <w:rPr>
          <w:rFonts w:ascii="Arial" w:hAnsi="Arial" w:cs="Arial"/>
          <w:szCs w:val="24"/>
        </w:rPr>
      </w:pPr>
      <w:r w:rsidRPr="00F950FD">
        <w:rPr>
          <w:rFonts w:ascii="Arial" w:hAnsi="Arial" w:cs="Arial"/>
          <w:szCs w:val="24"/>
        </w:rPr>
        <w:t>At the time of initial contact, an Access Therapist or designee shall obtain and document necessary demographic, insurance, presenting problem and preference information, and the consumer shall be offered a screening appointment on the same day as the request is made with a clinician.</w:t>
      </w:r>
      <w:r w:rsidR="00580B0E" w:rsidRPr="00F950FD">
        <w:rPr>
          <w:rFonts w:ascii="Arial" w:hAnsi="Arial" w:cs="Arial"/>
          <w:szCs w:val="24"/>
        </w:rPr>
        <w:t xml:space="preserve"> </w:t>
      </w:r>
      <w:r w:rsidRPr="00F950FD">
        <w:rPr>
          <w:rFonts w:ascii="Arial" w:hAnsi="Arial" w:cs="Arial"/>
          <w:szCs w:val="24"/>
        </w:rPr>
        <w:t>The consumer</w:t>
      </w:r>
      <w:r w:rsidR="00580B0E" w:rsidRPr="00F950FD">
        <w:rPr>
          <w:rFonts w:ascii="Arial" w:hAnsi="Arial" w:cs="Arial"/>
          <w:szCs w:val="24"/>
        </w:rPr>
        <w:t xml:space="preserve"> will be informed of the program they are being referred to. Program Manager will assign a primary worker. Primary worker will follow up with the consumer and set an initial appointment. </w:t>
      </w:r>
    </w:p>
    <w:p w:rsidR="002A52EA" w:rsidRPr="00F950FD" w:rsidRDefault="002A52EA">
      <w:pPr>
        <w:pStyle w:val="Header"/>
        <w:tabs>
          <w:tab w:val="clear" w:pos="4320"/>
          <w:tab w:val="clear" w:pos="8640"/>
        </w:tabs>
        <w:jc w:val="both"/>
        <w:rPr>
          <w:rFonts w:ascii="Arial" w:hAnsi="Arial" w:cs="Arial"/>
          <w:szCs w:val="24"/>
        </w:rPr>
      </w:pPr>
    </w:p>
    <w:p w:rsidR="00B4524D" w:rsidRPr="00F950FD" w:rsidRDefault="00F950FD">
      <w:pPr>
        <w:tabs>
          <w:tab w:val="left" w:pos="-720"/>
          <w:tab w:val="left" w:pos="0"/>
        </w:tabs>
        <w:suppressAutoHyphens/>
        <w:jc w:val="both"/>
        <w:rPr>
          <w:rFonts w:ascii="Arial" w:hAnsi="Arial" w:cs="Arial"/>
          <w:szCs w:val="24"/>
        </w:rPr>
      </w:pPr>
      <w:r>
        <w:rPr>
          <w:rFonts w:ascii="Arial" w:hAnsi="Arial" w:cs="Arial"/>
          <w:b/>
          <w:szCs w:val="24"/>
        </w:rPr>
        <w:t>1</w:t>
      </w:r>
      <w:r w:rsidR="00B4524D" w:rsidRPr="00F950FD">
        <w:rPr>
          <w:rFonts w:ascii="Arial" w:hAnsi="Arial" w:cs="Arial"/>
          <w:b/>
          <w:szCs w:val="24"/>
        </w:rPr>
        <w:t>.0</w:t>
      </w:r>
      <w:r w:rsidR="00B4524D" w:rsidRPr="00F950FD">
        <w:rPr>
          <w:rFonts w:ascii="Arial" w:hAnsi="Arial" w:cs="Arial"/>
          <w:b/>
          <w:szCs w:val="24"/>
        </w:rPr>
        <w:tab/>
      </w:r>
      <w:r w:rsidR="005609E1" w:rsidRPr="00F950FD">
        <w:rPr>
          <w:rFonts w:ascii="Arial" w:hAnsi="Arial" w:cs="Arial"/>
          <w:b/>
          <w:szCs w:val="24"/>
        </w:rPr>
        <w:t xml:space="preserve">Consumer Orientation/Ability to </w:t>
      </w:r>
      <w:proofErr w:type="gramStart"/>
      <w:r w:rsidR="005609E1" w:rsidRPr="00F950FD">
        <w:rPr>
          <w:rFonts w:ascii="Arial" w:hAnsi="Arial" w:cs="Arial"/>
          <w:b/>
          <w:szCs w:val="24"/>
        </w:rPr>
        <w:t>Pay</w:t>
      </w:r>
      <w:proofErr w:type="gramEnd"/>
      <w:r w:rsidR="005609E1" w:rsidRPr="00F950FD">
        <w:rPr>
          <w:rFonts w:ascii="Arial" w:hAnsi="Arial" w:cs="Arial"/>
          <w:b/>
          <w:szCs w:val="24"/>
        </w:rPr>
        <w:t xml:space="preserve"> process </w:t>
      </w:r>
    </w:p>
    <w:p w:rsidR="00B4524D" w:rsidRPr="00F950FD" w:rsidRDefault="00B4524D">
      <w:pPr>
        <w:jc w:val="both"/>
        <w:rPr>
          <w:rFonts w:ascii="Arial" w:hAnsi="Arial" w:cs="Arial"/>
          <w:szCs w:val="24"/>
        </w:rPr>
      </w:pPr>
    </w:p>
    <w:p w:rsidR="00B4524D" w:rsidRPr="00F950FD" w:rsidRDefault="00B4524D" w:rsidP="00F950FD">
      <w:pPr>
        <w:jc w:val="both"/>
        <w:rPr>
          <w:rFonts w:ascii="Arial" w:hAnsi="Arial" w:cs="Arial"/>
          <w:szCs w:val="24"/>
        </w:rPr>
      </w:pPr>
    </w:p>
    <w:p w:rsidR="00B4524D" w:rsidRPr="00F950FD" w:rsidRDefault="00B4524D">
      <w:pPr>
        <w:pStyle w:val="BodyTextIndent"/>
        <w:ind w:left="1440"/>
        <w:rPr>
          <w:rFonts w:cs="Arial"/>
          <w:szCs w:val="24"/>
        </w:rPr>
      </w:pPr>
      <w:r w:rsidRPr="00F950FD">
        <w:rPr>
          <w:rFonts w:cs="Arial"/>
          <w:szCs w:val="24"/>
        </w:rPr>
        <w:t xml:space="preserve"> 1.2</w:t>
      </w:r>
      <w:r w:rsidRPr="00F950FD">
        <w:rPr>
          <w:rFonts w:cs="Arial"/>
          <w:szCs w:val="24"/>
        </w:rPr>
        <w:tab/>
        <w:t>Upon arrival for intake</w:t>
      </w:r>
      <w:r w:rsidR="005609E1" w:rsidRPr="00F950FD">
        <w:rPr>
          <w:rFonts w:cs="Arial"/>
          <w:szCs w:val="24"/>
        </w:rPr>
        <w:t xml:space="preserve"> and assessment</w:t>
      </w:r>
      <w:r w:rsidRPr="00F950FD">
        <w:rPr>
          <w:rFonts w:cs="Arial"/>
          <w:szCs w:val="24"/>
        </w:rPr>
        <w:t xml:space="preserve">, </w:t>
      </w:r>
      <w:r w:rsidR="00271D5A" w:rsidRPr="00F950FD">
        <w:rPr>
          <w:rFonts w:cs="Arial"/>
          <w:szCs w:val="24"/>
        </w:rPr>
        <w:t xml:space="preserve">the </w:t>
      </w:r>
      <w:r w:rsidR="00FA5611" w:rsidRPr="00F950FD">
        <w:rPr>
          <w:rFonts w:cs="Arial"/>
          <w:szCs w:val="24"/>
        </w:rPr>
        <w:t>consumer</w:t>
      </w:r>
      <w:r w:rsidR="00271D5A" w:rsidRPr="00F950FD">
        <w:rPr>
          <w:rFonts w:cs="Arial"/>
          <w:szCs w:val="24"/>
        </w:rPr>
        <w:t xml:space="preserve"> and/or </w:t>
      </w:r>
      <w:r w:rsidR="005609E1" w:rsidRPr="00F950FD">
        <w:rPr>
          <w:rFonts w:cs="Arial"/>
          <w:szCs w:val="24"/>
        </w:rPr>
        <w:t>their</w:t>
      </w:r>
      <w:r w:rsidR="00271D5A" w:rsidRPr="00F950FD">
        <w:rPr>
          <w:rFonts w:cs="Arial"/>
          <w:szCs w:val="24"/>
        </w:rPr>
        <w:t xml:space="preserve"> legal representative </w:t>
      </w:r>
      <w:r w:rsidR="00FA5611" w:rsidRPr="00F950FD">
        <w:rPr>
          <w:rFonts w:cs="Arial"/>
          <w:szCs w:val="24"/>
        </w:rPr>
        <w:t>shall</w:t>
      </w:r>
      <w:r w:rsidR="00271D5A" w:rsidRPr="00F950FD">
        <w:rPr>
          <w:rFonts w:cs="Arial"/>
          <w:szCs w:val="24"/>
        </w:rPr>
        <w:t xml:space="preserve"> meet with the Ability to Pay Specialist to review orientation materials, the fee schedule/financial obligations and insurance guidelines, and complete the financial determination</w:t>
      </w:r>
      <w:r w:rsidRPr="00F950FD">
        <w:rPr>
          <w:rFonts w:cs="Arial"/>
          <w:szCs w:val="24"/>
        </w:rPr>
        <w:t xml:space="preserve">. </w:t>
      </w:r>
    </w:p>
    <w:p w:rsidR="00B4524D" w:rsidRPr="00F950FD" w:rsidRDefault="00B4524D">
      <w:pPr>
        <w:ind w:left="1440" w:hanging="720"/>
        <w:jc w:val="both"/>
        <w:rPr>
          <w:rFonts w:ascii="Arial" w:hAnsi="Arial" w:cs="Arial"/>
          <w:szCs w:val="24"/>
        </w:rPr>
      </w:pPr>
    </w:p>
    <w:p w:rsidR="00B4524D" w:rsidRPr="00F950FD" w:rsidRDefault="00B4524D">
      <w:pPr>
        <w:tabs>
          <w:tab w:val="left" w:pos="-1440"/>
        </w:tabs>
        <w:ind w:left="1440" w:hanging="720"/>
        <w:jc w:val="both"/>
        <w:rPr>
          <w:rFonts w:ascii="Arial" w:hAnsi="Arial" w:cs="Arial"/>
          <w:b/>
          <w:szCs w:val="24"/>
        </w:rPr>
      </w:pPr>
      <w:r w:rsidRPr="00F950FD">
        <w:rPr>
          <w:rFonts w:ascii="Arial" w:hAnsi="Arial" w:cs="Arial"/>
          <w:szCs w:val="24"/>
        </w:rPr>
        <w:t>1.3</w:t>
      </w:r>
      <w:r w:rsidRPr="00F950FD">
        <w:rPr>
          <w:rFonts w:ascii="Arial" w:hAnsi="Arial" w:cs="Arial"/>
          <w:szCs w:val="24"/>
        </w:rPr>
        <w:tab/>
      </w:r>
      <w:r w:rsidR="00271D5A" w:rsidRPr="00F950FD">
        <w:rPr>
          <w:rFonts w:ascii="Arial" w:hAnsi="Arial" w:cs="Arial"/>
          <w:szCs w:val="24"/>
        </w:rPr>
        <w:t xml:space="preserve">At any time, a </w:t>
      </w:r>
      <w:r w:rsidR="00FA5611" w:rsidRPr="00F950FD">
        <w:rPr>
          <w:rFonts w:ascii="Arial" w:hAnsi="Arial" w:cs="Arial"/>
          <w:szCs w:val="24"/>
        </w:rPr>
        <w:t>consumer</w:t>
      </w:r>
      <w:r w:rsidR="00271D5A" w:rsidRPr="00F950FD">
        <w:rPr>
          <w:rFonts w:ascii="Arial" w:hAnsi="Arial" w:cs="Arial"/>
          <w:szCs w:val="24"/>
        </w:rPr>
        <w:t xml:space="preserve"> may request an explanation of fees and financial obligations, regardless of the source of payment. Requests </w:t>
      </w:r>
      <w:r w:rsidR="00FA5611" w:rsidRPr="00F950FD">
        <w:rPr>
          <w:rFonts w:ascii="Arial" w:hAnsi="Arial" w:cs="Arial"/>
          <w:szCs w:val="24"/>
        </w:rPr>
        <w:t>shall</w:t>
      </w:r>
      <w:r w:rsidR="00271D5A" w:rsidRPr="00F950FD">
        <w:rPr>
          <w:rFonts w:ascii="Arial" w:hAnsi="Arial" w:cs="Arial"/>
          <w:szCs w:val="24"/>
        </w:rPr>
        <w:t xml:space="preserve"> be forwarded and handled by the Fiscal Department.</w:t>
      </w:r>
    </w:p>
    <w:p w:rsidR="00B4524D" w:rsidRPr="00F950FD" w:rsidRDefault="00B4524D">
      <w:pPr>
        <w:ind w:left="1440" w:hanging="720"/>
        <w:jc w:val="both"/>
        <w:rPr>
          <w:rFonts w:ascii="Arial" w:hAnsi="Arial" w:cs="Arial"/>
          <w:szCs w:val="24"/>
        </w:rPr>
      </w:pPr>
    </w:p>
    <w:p w:rsidR="00B4524D" w:rsidRPr="00F950FD" w:rsidRDefault="00B4524D">
      <w:pPr>
        <w:tabs>
          <w:tab w:val="left" w:pos="-1440"/>
        </w:tabs>
        <w:ind w:left="1440" w:hanging="720"/>
        <w:jc w:val="both"/>
        <w:rPr>
          <w:rFonts w:ascii="Arial" w:hAnsi="Arial" w:cs="Arial"/>
          <w:szCs w:val="24"/>
        </w:rPr>
      </w:pPr>
      <w:r w:rsidRPr="00F950FD">
        <w:rPr>
          <w:rFonts w:ascii="Arial" w:hAnsi="Arial" w:cs="Arial"/>
          <w:szCs w:val="24"/>
        </w:rPr>
        <w:t xml:space="preserve"> 1.4</w:t>
      </w:r>
      <w:r w:rsidRPr="00F950FD">
        <w:rPr>
          <w:rFonts w:ascii="Arial" w:hAnsi="Arial" w:cs="Arial"/>
          <w:szCs w:val="24"/>
        </w:rPr>
        <w:tab/>
      </w:r>
      <w:r w:rsidR="00271D5A" w:rsidRPr="00F950FD">
        <w:rPr>
          <w:rFonts w:ascii="Arial" w:hAnsi="Arial" w:cs="Arial"/>
          <w:szCs w:val="24"/>
        </w:rPr>
        <w:t xml:space="preserve">Orientation materials </w:t>
      </w:r>
      <w:r w:rsidR="00FA5611" w:rsidRPr="00F950FD">
        <w:rPr>
          <w:rFonts w:ascii="Arial" w:hAnsi="Arial" w:cs="Arial"/>
          <w:szCs w:val="24"/>
        </w:rPr>
        <w:t>shall</w:t>
      </w:r>
      <w:r w:rsidR="00271D5A" w:rsidRPr="00F950FD">
        <w:rPr>
          <w:rFonts w:ascii="Arial" w:hAnsi="Arial" w:cs="Arial"/>
          <w:szCs w:val="24"/>
        </w:rPr>
        <w:t xml:space="preserve"> include an explanation of the </w:t>
      </w:r>
      <w:r w:rsidR="00FA5611" w:rsidRPr="00F950FD">
        <w:rPr>
          <w:rFonts w:ascii="Arial" w:hAnsi="Arial" w:cs="Arial"/>
          <w:szCs w:val="24"/>
        </w:rPr>
        <w:t>consumer</w:t>
      </w:r>
      <w:r w:rsidR="00271D5A" w:rsidRPr="00F950FD">
        <w:rPr>
          <w:rFonts w:ascii="Arial" w:hAnsi="Arial" w:cs="Arial"/>
          <w:szCs w:val="24"/>
        </w:rPr>
        <w:t>’s rights and responsibilities, grievance and appeals procedures, person-centered planning</w:t>
      </w:r>
      <w:r w:rsidR="00A92CB0" w:rsidRPr="00F950FD">
        <w:rPr>
          <w:rFonts w:ascii="Arial" w:hAnsi="Arial" w:cs="Arial"/>
          <w:szCs w:val="24"/>
        </w:rPr>
        <w:t>,</w:t>
      </w:r>
      <w:r w:rsidR="00271D5A" w:rsidRPr="00F950FD">
        <w:rPr>
          <w:rFonts w:ascii="Arial" w:hAnsi="Arial" w:cs="Arial"/>
          <w:szCs w:val="24"/>
        </w:rPr>
        <w:t xml:space="preserve"> and the </w:t>
      </w:r>
      <w:r w:rsidR="00FA5611" w:rsidRPr="00F950FD">
        <w:rPr>
          <w:rFonts w:ascii="Arial" w:hAnsi="Arial" w:cs="Arial"/>
          <w:szCs w:val="24"/>
        </w:rPr>
        <w:t>consumer</w:t>
      </w:r>
      <w:r w:rsidR="00271D5A" w:rsidRPr="00F950FD">
        <w:rPr>
          <w:rFonts w:ascii="Arial" w:hAnsi="Arial" w:cs="Arial"/>
          <w:szCs w:val="24"/>
        </w:rPr>
        <w:t>’s role in the PCP process, agency services and activities, hours of operation, access to after-hours services, code of ethics, confidentiality, and policies regarding bringing weapons</w:t>
      </w:r>
      <w:r w:rsidR="00F22D61" w:rsidRPr="00F950FD">
        <w:rPr>
          <w:rFonts w:ascii="Arial" w:hAnsi="Arial" w:cs="Arial"/>
          <w:szCs w:val="24"/>
        </w:rPr>
        <w:t>,</w:t>
      </w:r>
      <w:r w:rsidR="00271D5A" w:rsidRPr="00F950FD">
        <w:rPr>
          <w:rFonts w:ascii="Arial" w:hAnsi="Arial" w:cs="Arial"/>
          <w:szCs w:val="24"/>
        </w:rPr>
        <w:t xml:space="preserve"> illicit drugs</w:t>
      </w:r>
      <w:r w:rsidR="00F22D61" w:rsidRPr="00F950FD">
        <w:rPr>
          <w:rFonts w:ascii="Arial" w:hAnsi="Arial" w:cs="Arial"/>
          <w:szCs w:val="24"/>
        </w:rPr>
        <w:t>, alcohol or tobacco</w:t>
      </w:r>
      <w:r w:rsidR="00271D5A" w:rsidRPr="00F950FD">
        <w:rPr>
          <w:rFonts w:ascii="Arial" w:hAnsi="Arial" w:cs="Arial"/>
          <w:szCs w:val="24"/>
        </w:rPr>
        <w:t xml:space="preserve"> onto agency property.</w:t>
      </w:r>
    </w:p>
    <w:p w:rsidR="00B4524D" w:rsidRPr="00F950FD" w:rsidRDefault="00B4524D">
      <w:pPr>
        <w:ind w:left="1440" w:hanging="720"/>
        <w:jc w:val="both"/>
        <w:rPr>
          <w:rFonts w:ascii="Arial" w:hAnsi="Arial" w:cs="Arial"/>
          <w:szCs w:val="24"/>
        </w:rPr>
      </w:pPr>
    </w:p>
    <w:p w:rsidR="00B4524D" w:rsidRPr="00F950FD" w:rsidRDefault="00B4524D">
      <w:pPr>
        <w:tabs>
          <w:tab w:val="left" w:pos="-1440"/>
        </w:tabs>
        <w:ind w:left="1440" w:hanging="720"/>
        <w:jc w:val="both"/>
        <w:rPr>
          <w:rFonts w:ascii="Arial" w:hAnsi="Arial" w:cs="Arial"/>
          <w:szCs w:val="24"/>
        </w:rPr>
      </w:pPr>
      <w:r w:rsidRPr="00F950FD">
        <w:rPr>
          <w:rFonts w:ascii="Arial" w:hAnsi="Arial" w:cs="Arial"/>
          <w:szCs w:val="24"/>
        </w:rPr>
        <w:lastRenderedPageBreak/>
        <w:t>1.</w:t>
      </w:r>
      <w:r w:rsidR="007C23BE" w:rsidRPr="00F950FD">
        <w:rPr>
          <w:rFonts w:ascii="Arial" w:hAnsi="Arial" w:cs="Arial"/>
          <w:szCs w:val="24"/>
        </w:rPr>
        <w:t>5</w:t>
      </w:r>
      <w:r w:rsidRPr="00F950FD">
        <w:rPr>
          <w:rFonts w:ascii="Arial" w:hAnsi="Arial" w:cs="Arial"/>
          <w:szCs w:val="24"/>
        </w:rPr>
        <w:tab/>
      </w:r>
      <w:r w:rsidR="00271D5A" w:rsidRPr="00F950FD">
        <w:rPr>
          <w:rFonts w:ascii="Arial" w:hAnsi="Arial" w:cs="Arial"/>
          <w:szCs w:val="24"/>
        </w:rPr>
        <w:t>All i</w:t>
      </w:r>
      <w:r w:rsidRPr="00F950FD">
        <w:rPr>
          <w:rFonts w:ascii="Arial" w:hAnsi="Arial" w:cs="Arial"/>
          <w:szCs w:val="24"/>
        </w:rPr>
        <w:t xml:space="preserve">nvolved staff members </w:t>
      </w:r>
      <w:r w:rsidR="00FA5611" w:rsidRPr="00F950FD">
        <w:rPr>
          <w:rFonts w:ascii="Arial" w:hAnsi="Arial" w:cs="Arial"/>
          <w:szCs w:val="24"/>
        </w:rPr>
        <w:t>shall</w:t>
      </w:r>
      <w:r w:rsidRPr="00F950FD">
        <w:rPr>
          <w:rFonts w:ascii="Arial" w:hAnsi="Arial" w:cs="Arial"/>
          <w:szCs w:val="24"/>
        </w:rPr>
        <w:t xml:space="preserve"> ensure that documentation is completed at each step of the intake process.</w:t>
      </w:r>
    </w:p>
    <w:p w:rsidR="00B4524D" w:rsidRPr="00F950FD" w:rsidRDefault="00B4524D">
      <w:pPr>
        <w:jc w:val="both"/>
        <w:rPr>
          <w:rFonts w:ascii="Arial" w:hAnsi="Arial" w:cs="Arial"/>
          <w:szCs w:val="24"/>
        </w:rPr>
      </w:pPr>
    </w:p>
    <w:p w:rsidR="002B64DA" w:rsidRPr="00F950FD" w:rsidRDefault="00B4524D">
      <w:pPr>
        <w:tabs>
          <w:tab w:val="left" w:pos="-1440"/>
        </w:tabs>
        <w:jc w:val="both"/>
        <w:rPr>
          <w:rFonts w:ascii="Arial" w:hAnsi="Arial" w:cs="Arial"/>
          <w:b/>
          <w:szCs w:val="24"/>
        </w:rPr>
      </w:pPr>
      <w:r w:rsidRPr="00F950FD">
        <w:rPr>
          <w:rFonts w:ascii="Arial" w:hAnsi="Arial" w:cs="Arial"/>
          <w:b/>
          <w:szCs w:val="24"/>
        </w:rPr>
        <w:t>2.0</w:t>
      </w:r>
      <w:r w:rsidR="002B64DA" w:rsidRPr="00F950FD">
        <w:rPr>
          <w:rFonts w:ascii="Arial" w:hAnsi="Arial" w:cs="Arial"/>
          <w:b/>
          <w:szCs w:val="24"/>
        </w:rPr>
        <w:tab/>
        <w:t>Consumer Education</w:t>
      </w:r>
    </w:p>
    <w:p w:rsidR="002B64DA" w:rsidRPr="00F950FD" w:rsidRDefault="002B64DA">
      <w:pPr>
        <w:tabs>
          <w:tab w:val="left" w:pos="-1440"/>
        </w:tabs>
        <w:jc w:val="both"/>
        <w:rPr>
          <w:rFonts w:ascii="Arial" w:hAnsi="Arial" w:cs="Arial"/>
          <w:b/>
          <w:szCs w:val="24"/>
        </w:rPr>
      </w:pPr>
    </w:p>
    <w:p w:rsidR="002B64DA" w:rsidRPr="00F950FD" w:rsidRDefault="005609E1" w:rsidP="002B64DA">
      <w:pPr>
        <w:tabs>
          <w:tab w:val="left" w:pos="-1440"/>
        </w:tabs>
        <w:ind w:left="720"/>
        <w:jc w:val="both"/>
        <w:rPr>
          <w:rFonts w:ascii="Arial" w:hAnsi="Arial" w:cs="Arial"/>
          <w:b/>
          <w:szCs w:val="24"/>
        </w:rPr>
      </w:pPr>
      <w:r w:rsidRPr="00F950FD">
        <w:rPr>
          <w:rFonts w:ascii="Arial" w:hAnsi="Arial" w:cs="Arial"/>
          <w:szCs w:val="24"/>
        </w:rPr>
        <w:t>ICCMHA</w:t>
      </w:r>
      <w:r w:rsidR="002B64DA" w:rsidRPr="00F950FD">
        <w:rPr>
          <w:rFonts w:ascii="Arial" w:hAnsi="Arial" w:cs="Arial"/>
          <w:szCs w:val="24"/>
        </w:rPr>
        <w:t xml:space="preserve"> plans, supports, and coordinates individual and family education activities and resources.</w:t>
      </w:r>
    </w:p>
    <w:p w:rsidR="002B64DA" w:rsidRPr="00F950FD" w:rsidRDefault="002B64DA" w:rsidP="002B64DA">
      <w:pPr>
        <w:tabs>
          <w:tab w:val="left" w:pos="-1440"/>
        </w:tabs>
        <w:ind w:left="720"/>
        <w:jc w:val="both"/>
        <w:rPr>
          <w:rFonts w:ascii="Arial" w:hAnsi="Arial" w:cs="Arial"/>
          <w:b/>
          <w:szCs w:val="24"/>
        </w:rPr>
      </w:pPr>
    </w:p>
    <w:p w:rsidR="002B64DA" w:rsidRPr="00F950FD" w:rsidRDefault="005609E1" w:rsidP="00F950FD">
      <w:pPr>
        <w:tabs>
          <w:tab w:val="left" w:pos="-1440"/>
        </w:tabs>
        <w:ind w:left="720"/>
        <w:jc w:val="both"/>
        <w:rPr>
          <w:rFonts w:ascii="Arial" w:hAnsi="Arial" w:cs="Arial"/>
          <w:b/>
          <w:szCs w:val="24"/>
        </w:rPr>
      </w:pPr>
      <w:r w:rsidRPr="00F950FD">
        <w:rPr>
          <w:rFonts w:ascii="Arial" w:hAnsi="Arial" w:cs="Arial"/>
          <w:szCs w:val="24"/>
        </w:rPr>
        <w:t>ICCMHA</w:t>
      </w:r>
      <w:r w:rsidR="002B64DA" w:rsidRPr="00F950FD">
        <w:rPr>
          <w:rFonts w:ascii="Arial" w:hAnsi="Arial" w:cs="Arial"/>
          <w:szCs w:val="24"/>
        </w:rPr>
        <w:t xml:space="preserve"> shall provide education and training to the consumer, family, and/or caregiver specific to the consumer’s assessed needs, abilities, and preparedness.</w:t>
      </w:r>
    </w:p>
    <w:p w:rsidR="00B4524D" w:rsidRPr="00F950FD" w:rsidRDefault="00B4524D">
      <w:pPr>
        <w:jc w:val="both"/>
        <w:rPr>
          <w:rFonts w:ascii="Arial" w:hAnsi="Arial" w:cs="Arial"/>
          <w:szCs w:val="24"/>
        </w:rPr>
      </w:pPr>
    </w:p>
    <w:p w:rsidR="00B4524D" w:rsidRPr="00F950FD" w:rsidRDefault="00B4524D">
      <w:pPr>
        <w:tabs>
          <w:tab w:val="left" w:pos="-1440"/>
        </w:tabs>
        <w:jc w:val="both"/>
        <w:rPr>
          <w:rFonts w:ascii="Arial" w:hAnsi="Arial" w:cs="Arial"/>
          <w:szCs w:val="24"/>
        </w:rPr>
      </w:pPr>
      <w:r w:rsidRPr="00F950FD">
        <w:rPr>
          <w:rFonts w:ascii="Arial" w:hAnsi="Arial" w:cs="Arial"/>
          <w:b/>
          <w:szCs w:val="24"/>
        </w:rPr>
        <w:t xml:space="preserve">3.0 </w:t>
      </w:r>
      <w:r w:rsidRPr="00F950FD">
        <w:rPr>
          <w:rFonts w:ascii="Arial" w:hAnsi="Arial" w:cs="Arial"/>
          <w:b/>
          <w:szCs w:val="24"/>
        </w:rPr>
        <w:tab/>
        <w:t>Monitoring</w:t>
      </w:r>
    </w:p>
    <w:p w:rsidR="00B4524D" w:rsidRPr="00F950FD" w:rsidRDefault="00B4524D">
      <w:pPr>
        <w:jc w:val="both"/>
        <w:rPr>
          <w:rFonts w:ascii="Arial" w:hAnsi="Arial" w:cs="Arial"/>
          <w:szCs w:val="24"/>
        </w:rPr>
      </w:pPr>
    </w:p>
    <w:p w:rsidR="00B4524D" w:rsidRPr="00F950FD" w:rsidRDefault="00B4524D">
      <w:pPr>
        <w:tabs>
          <w:tab w:val="left" w:pos="-1440"/>
        </w:tabs>
        <w:ind w:left="1440" w:hanging="720"/>
        <w:jc w:val="both"/>
        <w:rPr>
          <w:rFonts w:ascii="Arial" w:hAnsi="Arial" w:cs="Arial"/>
          <w:szCs w:val="24"/>
        </w:rPr>
      </w:pPr>
      <w:r w:rsidRPr="00F950FD">
        <w:rPr>
          <w:rFonts w:ascii="Arial" w:hAnsi="Arial" w:cs="Arial"/>
          <w:szCs w:val="24"/>
        </w:rPr>
        <w:t xml:space="preserve">3.1 </w:t>
      </w:r>
      <w:r w:rsidRPr="00F950FD">
        <w:rPr>
          <w:rFonts w:ascii="Arial" w:hAnsi="Arial" w:cs="Arial"/>
          <w:szCs w:val="24"/>
        </w:rPr>
        <w:tab/>
        <w:t xml:space="preserve">Progress Notes </w:t>
      </w:r>
      <w:r w:rsidR="00FA5611" w:rsidRPr="00F950FD">
        <w:rPr>
          <w:rFonts w:ascii="Arial" w:hAnsi="Arial" w:cs="Arial"/>
          <w:szCs w:val="24"/>
        </w:rPr>
        <w:t>shall</w:t>
      </w:r>
      <w:r w:rsidRPr="00F950FD">
        <w:rPr>
          <w:rFonts w:ascii="Arial" w:hAnsi="Arial" w:cs="Arial"/>
          <w:szCs w:val="24"/>
        </w:rPr>
        <w:t xml:space="preserve"> be used to summarize a </w:t>
      </w:r>
      <w:r w:rsidR="00FA5611" w:rsidRPr="00F950FD">
        <w:rPr>
          <w:rFonts w:ascii="Arial" w:hAnsi="Arial" w:cs="Arial"/>
          <w:szCs w:val="24"/>
        </w:rPr>
        <w:t>consumer</w:t>
      </w:r>
      <w:r w:rsidRPr="00F950FD">
        <w:rPr>
          <w:rFonts w:ascii="Arial" w:hAnsi="Arial" w:cs="Arial"/>
          <w:szCs w:val="24"/>
        </w:rPr>
        <w:t xml:space="preserve">'s progress towards identified goals. A progress note </w:t>
      </w:r>
      <w:r w:rsidR="00F22D61" w:rsidRPr="00F950FD">
        <w:rPr>
          <w:rFonts w:ascii="Arial" w:hAnsi="Arial" w:cs="Arial"/>
          <w:szCs w:val="24"/>
        </w:rPr>
        <w:t>shall</w:t>
      </w:r>
      <w:r w:rsidRPr="00F950FD">
        <w:rPr>
          <w:rFonts w:ascii="Arial" w:hAnsi="Arial" w:cs="Arial"/>
          <w:szCs w:val="24"/>
        </w:rPr>
        <w:t xml:space="preserve"> be completed after each face-to-face contact with the </w:t>
      </w:r>
      <w:r w:rsidR="00FA5611" w:rsidRPr="00F950FD">
        <w:rPr>
          <w:rFonts w:ascii="Arial" w:hAnsi="Arial" w:cs="Arial"/>
          <w:szCs w:val="24"/>
        </w:rPr>
        <w:t>consumer</w:t>
      </w:r>
      <w:r w:rsidR="002A52EA" w:rsidRPr="00F950FD">
        <w:rPr>
          <w:rFonts w:ascii="Arial" w:hAnsi="Arial" w:cs="Arial"/>
          <w:szCs w:val="24"/>
        </w:rPr>
        <w:t>,</w:t>
      </w:r>
      <w:r w:rsidRPr="00F950FD">
        <w:rPr>
          <w:rFonts w:ascii="Arial" w:hAnsi="Arial" w:cs="Arial"/>
          <w:szCs w:val="24"/>
        </w:rPr>
        <w:t xml:space="preserve"> non-face to face contacts or pertinent collateral contacts.</w:t>
      </w:r>
    </w:p>
    <w:p w:rsidR="00B4524D" w:rsidRPr="00F950FD" w:rsidRDefault="00B4524D">
      <w:pPr>
        <w:ind w:left="1440" w:hanging="720"/>
        <w:jc w:val="both"/>
        <w:rPr>
          <w:rFonts w:ascii="Arial" w:hAnsi="Arial" w:cs="Arial"/>
          <w:szCs w:val="24"/>
        </w:rPr>
      </w:pPr>
    </w:p>
    <w:p w:rsidR="00842FB8" w:rsidRPr="00F950FD" w:rsidRDefault="00B4524D">
      <w:pPr>
        <w:tabs>
          <w:tab w:val="left" w:pos="-1440"/>
        </w:tabs>
        <w:ind w:left="1440" w:hanging="720"/>
        <w:jc w:val="both"/>
        <w:rPr>
          <w:rFonts w:ascii="Arial" w:hAnsi="Arial" w:cs="Arial"/>
          <w:szCs w:val="24"/>
        </w:rPr>
      </w:pPr>
      <w:r w:rsidRPr="00F950FD">
        <w:rPr>
          <w:rFonts w:ascii="Arial" w:hAnsi="Arial" w:cs="Arial"/>
          <w:szCs w:val="24"/>
        </w:rPr>
        <w:t>3.</w:t>
      </w:r>
      <w:r w:rsidR="00676CDC" w:rsidRPr="00F950FD">
        <w:rPr>
          <w:rFonts w:ascii="Arial" w:hAnsi="Arial" w:cs="Arial"/>
          <w:szCs w:val="24"/>
        </w:rPr>
        <w:t xml:space="preserve">2 </w:t>
      </w:r>
      <w:r w:rsidRPr="00F950FD">
        <w:rPr>
          <w:rFonts w:ascii="Arial" w:hAnsi="Arial" w:cs="Arial"/>
          <w:szCs w:val="24"/>
        </w:rPr>
        <w:tab/>
        <w:t>Periodic Reviews</w:t>
      </w:r>
      <w:r w:rsidR="00534538" w:rsidRPr="00F950FD">
        <w:rPr>
          <w:rFonts w:ascii="Arial" w:hAnsi="Arial" w:cs="Arial"/>
          <w:szCs w:val="24"/>
        </w:rPr>
        <w:t>, at a frequency determined within the person-centered plan,</w:t>
      </w:r>
      <w:r w:rsidRPr="00F950FD">
        <w:rPr>
          <w:rFonts w:ascii="Arial" w:hAnsi="Arial" w:cs="Arial"/>
          <w:szCs w:val="24"/>
        </w:rPr>
        <w:t xml:space="preserve"> shall be used to evaluate and monitor </w:t>
      </w:r>
      <w:r w:rsidR="00FA5611" w:rsidRPr="00F950FD">
        <w:rPr>
          <w:rFonts w:ascii="Arial" w:hAnsi="Arial" w:cs="Arial"/>
          <w:szCs w:val="24"/>
        </w:rPr>
        <w:t>consumer</w:t>
      </w:r>
      <w:r w:rsidRPr="00F950FD">
        <w:rPr>
          <w:rFonts w:ascii="Arial" w:hAnsi="Arial" w:cs="Arial"/>
          <w:szCs w:val="24"/>
        </w:rPr>
        <w:t xml:space="preserve"> satisfaction with services and progress toward identified goals. </w:t>
      </w:r>
    </w:p>
    <w:p w:rsidR="00842FB8" w:rsidRPr="00F950FD" w:rsidRDefault="00842FB8">
      <w:pPr>
        <w:tabs>
          <w:tab w:val="left" w:pos="-1440"/>
        </w:tabs>
        <w:ind w:left="1440" w:hanging="720"/>
        <w:jc w:val="both"/>
        <w:rPr>
          <w:rFonts w:ascii="Arial" w:hAnsi="Arial" w:cs="Arial"/>
          <w:szCs w:val="24"/>
        </w:rPr>
      </w:pPr>
      <w:r w:rsidRPr="00F950FD">
        <w:rPr>
          <w:rFonts w:ascii="Arial" w:hAnsi="Arial" w:cs="Arial"/>
          <w:szCs w:val="24"/>
        </w:rPr>
        <w:t>3.</w:t>
      </w:r>
      <w:r w:rsidR="00676CDC" w:rsidRPr="00F950FD">
        <w:rPr>
          <w:rFonts w:ascii="Arial" w:hAnsi="Arial" w:cs="Arial"/>
          <w:szCs w:val="24"/>
        </w:rPr>
        <w:t>3</w:t>
      </w:r>
      <w:r w:rsidRPr="00F950FD">
        <w:rPr>
          <w:rFonts w:ascii="Arial" w:hAnsi="Arial" w:cs="Arial"/>
          <w:szCs w:val="24"/>
        </w:rPr>
        <w:tab/>
      </w:r>
      <w:r w:rsidR="002A52EA" w:rsidRPr="00F950FD">
        <w:rPr>
          <w:rFonts w:ascii="Arial" w:hAnsi="Arial" w:cs="Arial"/>
          <w:szCs w:val="24"/>
        </w:rPr>
        <w:t xml:space="preserve">The primary worker will monitor consumer progress </w:t>
      </w:r>
      <w:r w:rsidR="007127FD" w:rsidRPr="00F950FD">
        <w:rPr>
          <w:rFonts w:ascii="Arial" w:hAnsi="Arial" w:cs="Arial"/>
          <w:szCs w:val="24"/>
        </w:rPr>
        <w:t>of all services authorized in the person centered plan. This includes coordinating with other providers. (</w:t>
      </w:r>
      <w:r w:rsidRPr="00F950FD">
        <w:rPr>
          <w:rFonts w:ascii="Arial" w:hAnsi="Arial" w:cs="Arial"/>
          <w:szCs w:val="24"/>
        </w:rPr>
        <w:t xml:space="preserve">When multiple </w:t>
      </w:r>
      <w:r w:rsidR="005609E1" w:rsidRPr="00F950FD">
        <w:rPr>
          <w:rFonts w:ascii="Arial" w:hAnsi="Arial" w:cs="Arial"/>
          <w:szCs w:val="24"/>
        </w:rPr>
        <w:t>ICCMHA</w:t>
      </w:r>
      <w:r w:rsidRPr="00F950FD">
        <w:rPr>
          <w:rFonts w:ascii="Arial" w:hAnsi="Arial" w:cs="Arial"/>
          <w:szCs w:val="24"/>
        </w:rPr>
        <w:t xml:space="preserve"> services are authorized there </w:t>
      </w:r>
      <w:r w:rsidR="00FA5611" w:rsidRPr="00F950FD">
        <w:rPr>
          <w:rFonts w:ascii="Arial" w:hAnsi="Arial" w:cs="Arial"/>
          <w:szCs w:val="24"/>
        </w:rPr>
        <w:t>shall</w:t>
      </w:r>
      <w:r w:rsidRPr="00F950FD">
        <w:rPr>
          <w:rFonts w:ascii="Arial" w:hAnsi="Arial" w:cs="Arial"/>
          <w:szCs w:val="24"/>
        </w:rPr>
        <w:t xml:space="preserve"> be a concerted effort to</w:t>
      </w:r>
      <w:r w:rsidR="00543E09" w:rsidRPr="00F950FD">
        <w:rPr>
          <w:rFonts w:ascii="Arial" w:hAnsi="Arial" w:cs="Arial"/>
          <w:szCs w:val="24"/>
        </w:rPr>
        <w:t xml:space="preserve"> eliminate </w:t>
      </w:r>
      <w:r w:rsidRPr="00F950FD">
        <w:rPr>
          <w:rFonts w:ascii="Arial" w:hAnsi="Arial" w:cs="Arial"/>
          <w:szCs w:val="24"/>
        </w:rPr>
        <w:t>duplication of services.</w:t>
      </w:r>
    </w:p>
    <w:p w:rsidR="00B4524D" w:rsidRPr="00F950FD" w:rsidRDefault="00B4524D">
      <w:pPr>
        <w:jc w:val="both"/>
        <w:rPr>
          <w:rFonts w:ascii="Arial" w:hAnsi="Arial" w:cs="Arial"/>
          <w:szCs w:val="24"/>
        </w:rPr>
      </w:pPr>
    </w:p>
    <w:p w:rsidR="00F950FD" w:rsidRPr="00F950FD" w:rsidRDefault="00B4524D" w:rsidP="00F950FD">
      <w:pPr>
        <w:tabs>
          <w:tab w:val="left" w:pos="-1440"/>
        </w:tabs>
        <w:ind w:left="1080" w:hanging="1080"/>
        <w:jc w:val="both"/>
        <w:rPr>
          <w:rFonts w:ascii="Arial" w:hAnsi="Arial" w:cs="Arial"/>
          <w:b/>
          <w:szCs w:val="24"/>
        </w:rPr>
      </w:pPr>
      <w:r w:rsidRPr="00F950FD">
        <w:rPr>
          <w:rFonts w:ascii="Arial" w:hAnsi="Arial" w:cs="Arial"/>
          <w:b/>
          <w:szCs w:val="24"/>
        </w:rPr>
        <w:t>4.0</w:t>
      </w:r>
      <w:r w:rsidRPr="00F950FD">
        <w:rPr>
          <w:rFonts w:ascii="Arial" w:hAnsi="Arial" w:cs="Arial"/>
          <w:b/>
          <w:szCs w:val="24"/>
        </w:rPr>
        <w:tab/>
        <w:t>Intra-Agency Transfers or Adjunct Service</w:t>
      </w:r>
    </w:p>
    <w:p w:rsidR="00F950FD" w:rsidRPr="00F950FD" w:rsidRDefault="00F950FD" w:rsidP="00F950FD">
      <w:pPr>
        <w:tabs>
          <w:tab w:val="left" w:pos="-1440"/>
        </w:tabs>
        <w:ind w:left="1080" w:hanging="1080"/>
        <w:jc w:val="both"/>
        <w:rPr>
          <w:rFonts w:ascii="Arial" w:hAnsi="Arial" w:cs="Arial"/>
          <w:b/>
          <w:szCs w:val="24"/>
        </w:rPr>
      </w:pPr>
    </w:p>
    <w:p w:rsidR="004D2CAD" w:rsidRPr="00F950FD" w:rsidRDefault="00F950FD" w:rsidP="00F950FD">
      <w:pPr>
        <w:tabs>
          <w:tab w:val="left" w:pos="-1440"/>
        </w:tabs>
        <w:ind w:left="1080" w:hanging="1080"/>
        <w:jc w:val="both"/>
        <w:rPr>
          <w:rFonts w:ascii="Arial" w:hAnsi="Arial" w:cs="Arial"/>
          <w:szCs w:val="24"/>
        </w:rPr>
      </w:pPr>
      <w:r w:rsidRPr="00F950FD">
        <w:rPr>
          <w:rFonts w:ascii="Arial" w:hAnsi="Arial" w:cs="Arial"/>
          <w:b/>
          <w:szCs w:val="24"/>
        </w:rPr>
        <w:tab/>
      </w:r>
      <w:r w:rsidR="00B4524D" w:rsidRPr="00F950FD">
        <w:rPr>
          <w:rFonts w:ascii="Arial" w:hAnsi="Arial" w:cs="Arial"/>
          <w:szCs w:val="24"/>
        </w:rPr>
        <w:t xml:space="preserve">When a </w:t>
      </w:r>
      <w:r w:rsidR="007127FD" w:rsidRPr="00F950FD">
        <w:rPr>
          <w:rFonts w:ascii="Arial" w:hAnsi="Arial" w:cs="Arial"/>
          <w:szCs w:val="24"/>
        </w:rPr>
        <w:t>primary worker or</w:t>
      </w:r>
      <w:r w:rsidR="00B4524D" w:rsidRPr="00F950FD">
        <w:rPr>
          <w:rFonts w:ascii="Arial" w:hAnsi="Arial" w:cs="Arial"/>
          <w:szCs w:val="24"/>
        </w:rPr>
        <w:t xml:space="preserve"> </w:t>
      </w:r>
      <w:r w:rsidR="00FA5611" w:rsidRPr="00F950FD">
        <w:rPr>
          <w:rFonts w:ascii="Arial" w:hAnsi="Arial" w:cs="Arial"/>
          <w:szCs w:val="24"/>
        </w:rPr>
        <w:t>consumer</w:t>
      </w:r>
      <w:r w:rsidR="00B4524D" w:rsidRPr="00F950FD">
        <w:rPr>
          <w:rFonts w:ascii="Arial" w:hAnsi="Arial" w:cs="Arial"/>
          <w:szCs w:val="24"/>
        </w:rPr>
        <w:t>, through ongoing assessment, identifies that a different or more appropriate service would be beneficial</w:t>
      </w:r>
      <w:r w:rsidR="008A1F6B" w:rsidRPr="00F950FD">
        <w:rPr>
          <w:rFonts w:ascii="Arial" w:hAnsi="Arial" w:cs="Arial"/>
          <w:szCs w:val="24"/>
        </w:rPr>
        <w:t xml:space="preserve">, the consumer shall be transferred or referred to the team which can provide the identified service. </w:t>
      </w:r>
      <w:r w:rsidR="00FC7BEC" w:rsidRPr="00F950FD">
        <w:rPr>
          <w:rFonts w:ascii="Arial" w:hAnsi="Arial" w:cs="Arial"/>
          <w:szCs w:val="24"/>
        </w:rPr>
        <w:t>If the services are not available from within the agency, the consumer shall be referred to another community resource.</w:t>
      </w:r>
    </w:p>
    <w:p w:rsidR="004D2CAD" w:rsidRPr="00F950FD" w:rsidRDefault="00485378" w:rsidP="004D2CAD">
      <w:pPr>
        <w:numPr>
          <w:ilvl w:val="1"/>
          <w:numId w:val="13"/>
        </w:numPr>
        <w:tabs>
          <w:tab w:val="left" w:pos="-1440"/>
        </w:tabs>
        <w:jc w:val="both"/>
        <w:rPr>
          <w:rFonts w:ascii="Arial" w:hAnsi="Arial" w:cs="Arial"/>
          <w:szCs w:val="24"/>
        </w:rPr>
      </w:pPr>
      <w:r w:rsidRPr="00F950FD">
        <w:rPr>
          <w:rFonts w:ascii="Arial" w:hAnsi="Arial" w:cs="Arial"/>
          <w:szCs w:val="24"/>
        </w:rPr>
        <w:t>Primary staff discusses transfer/referral with their own supervisor.</w:t>
      </w:r>
    </w:p>
    <w:p w:rsidR="004D2CAD" w:rsidRPr="00F950FD" w:rsidRDefault="00485378" w:rsidP="004D2CAD">
      <w:pPr>
        <w:numPr>
          <w:ilvl w:val="1"/>
          <w:numId w:val="13"/>
        </w:numPr>
        <w:tabs>
          <w:tab w:val="left" w:pos="-1440"/>
        </w:tabs>
        <w:jc w:val="both"/>
        <w:rPr>
          <w:rFonts w:ascii="Arial" w:hAnsi="Arial" w:cs="Arial"/>
          <w:szCs w:val="24"/>
        </w:rPr>
      </w:pPr>
      <w:r w:rsidRPr="00F950FD">
        <w:rPr>
          <w:rFonts w:ascii="Arial" w:hAnsi="Arial" w:cs="Arial"/>
          <w:szCs w:val="24"/>
        </w:rPr>
        <w:lastRenderedPageBreak/>
        <w:t>When possible/feasible, primary staff discusses possible transfer/referral with consumer/family to ensure consumer is agreeable and/or informed about the potential change.  Note:  If a consumer has a guardian, or other significantly involved support or caregivers, the involvement of these individuals must also be considered, and included when appropriate, throughout the transfer/referral processes.</w:t>
      </w:r>
    </w:p>
    <w:p w:rsidR="004D2CAD" w:rsidRPr="00F950FD" w:rsidRDefault="00485378" w:rsidP="004D2CAD">
      <w:pPr>
        <w:numPr>
          <w:ilvl w:val="1"/>
          <w:numId w:val="13"/>
        </w:numPr>
        <w:tabs>
          <w:tab w:val="left" w:pos="-1440"/>
        </w:tabs>
        <w:jc w:val="both"/>
        <w:rPr>
          <w:rFonts w:ascii="Arial" w:hAnsi="Arial" w:cs="Arial"/>
          <w:szCs w:val="24"/>
        </w:rPr>
      </w:pPr>
      <w:r w:rsidRPr="00F950FD">
        <w:rPr>
          <w:rFonts w:ascii="Arial" w:hAnsi="Arial" w:cs="Arial"/>
          <w:szCs w:val="24"/>
        </w:rPr>
        <w:t>The supervisor does a thorough review of the electronic health record(s) of the consumer/family to ensure that all documentation is current and complete.  The primary staff must complete any incomplete or missing documentation prior to transfer/referral to another service/referral.</w:t>
      </w:r>
    </w:p>
    <w:p w:rsidR="004D2CAD" w:rsidRPr="00F950FD" w:rsidRDefault="00485378" w:rsidP="004D2CAD">
      <w:pPr>
        <w:numPr>
          <w:ilvl w:val="1"/>
          <w:numId w:val="13"/>
        </w:numPr>
        <w:tabs>
          <w:tab w:val="left" w:pos="-1440"/>
        </w:tabs>
        <w:jc w:val="both"/>
        <w:rPr>
          <w:rFonts w:ascii="Arial" w:hAnsi="Arial" w:cs="Arial"/>
          <w:szCs w:val="24"/>
        </w:rPr>
      </w:pPr>
      <w:r w:rsidRPr="00F950FD">
        <w:rPr>
          <w:rFonts w:ascii="Arial" w:hAnsi="Arial" w:cs="Arial"/>
          <w:szCs w:val="24"/>
        </w:rPr>
        <w:t>Supervisor checks if this is appropriate and possible with the receiving supervisor.</w:t>
      </w:r>
    </w:p>
    <w:p w:rsidR="004D2CAD" w:rsidRPr="00F950FD" w:rsidRDefault="009E7808" w:rsidP="004D2CAD">
      <w:pPr>
        <w:numPr>
          <w:ilvl w:val="1"/>
          <w:numId w:val="13"/>
        </w:numPr>
        <w:tabs>
          <w:tab w:val="left" w:pos="-1440"/>
        </w:tabs>
        <w:jc w:val="both"/>
        <w:rPr>
          <w:rFonts w:ascii="Arial" w:hAnsi="Arial" w:cs="Arial"/>
          <w:szCs w:val="24"/>
        </w:rPr>
      </w:pPr>
      <w:r w:rsidRPr="00F950FD">
        <w:rPr>
          <w:rFonts w:ascii="Arial" w:hAnsi="Arial" w:cs="Arial"/>
          <w:szCs w:val="24"/>
        </w:rPr>
        <w:t xml:space="preserve"> Staff will complete the transfer form in the electronic health record any time you are transferring a consumer from program to program/ within the same program/</w:t>
      </w:r>
      <w:proofErr w:type="spellStart"/>
      <w:r w:rsidRPr="00F950FD">
        <w:rPr>
          <w:rFonts w:ascii="Arial" w:hAnsi="Arial" w:cs="Arial"/>
          <w:szCs w:val="24"/>
        </w:rPr>
        <w:t>adjuncting</w:t>
      </w:r>
      <w:proofErr w:type="spellEnd"/>
      <w:r w:rsidRPr="00F950FD">
        <w:rPr>
          <w:rFonts w:ascii="Arial" w:hAnsi="Arial" w:cs="Arial"/>
          <w:szCs w:val="24"/>
        </w:rPr>
        <w:t xml:space="preserve"> service/referring for services/ending other services but still receiving services from primary worker.</w:t>
      </w:r>
    </w:p>
    <w:p w:rsidR="004D2CAD" w:rsidRPr="00F950FD" w:rsidRDefault="00485378" w:rsidP="004D2CAD">
      <w:pPr>
        <w:numPr>
          <w:ilvl w:val="1"/>
          <w:numId w:val="13"/>
        </w:numPr>
        <w:tabs>
          <w:tab w:val="left" w:pos="-1440"/>
        </w:tabs>
        <w:jc w:val="both"/>
        <w:rPr>
          <w:rFonts w:ascii="Arial" w:hAnsi="Arial" w:cs="Arial"/>
          <w:szCs w:val="24"/>
        </w:rPr>
      </w:pPr>
      <w:r w:rsidRPr="00F950FD">
        <w:rPr>
          <w:rFonts w:ascii="Arial" w:hAnsi="Arial" w:cs="Arial"/>
          <w:szCs w:val="24"/>
        </w:rPr>
        <w:t xml:space="preserve">If transfer/referral is agreed between supervisors, then the two line workers coordinate to both meet with the consumer/family to facilitate the transfer/referral, making sure there is a next appointment scheduled between the consumer/family and the receiving staff, and to complete the paperwork/documentation together.   </w:t>
      </w:r>
    </w:p>
    <w:p w:rsidR="004D2CAD" w:rsidRPr="00F950FD" w:rsidRDefault="00485378" w:rsidP="004D2CAD">
      <w:pPr>
        <w:numPr>
          <w:ilvl w:val="1"/>
          <w:numId w:val="13"/>
        </w:numPr>
        <w:tabs>
          <w:tab w:val="left" w:pos="-1440"/>
        </w:tabs>
        <w:jc w:val="both"/>
        <w:rPr>
          <w:rFonts w:ascii="Arial" w:hAnsi="Arial" w:cs="Arial"/>
          <w:szCs w:val="24"/>
        </w:rPr>
      </w:pPr>
      <w:r w:rsidRPr="00F950FD">
        <w:rPr>
          <w:rFonts w:ascii="Arial" w:hAnsi="Arial" w:cs="Arial"/>
          <w:szCs w:val="24"/>
        </w:rPr>
        <w:t xml:space="preserve">Two exceptions:  </w:t>
      </w:r>
    </w:p>
    <w:p w:rsidR="004D2CAD" w:rsidRPr="00F950FD" w:rsidRDefault="00485378" w:rsidP="004D2CAD">
      <w:pPr>
        <w:numPr>
          <w:ilvl w:val="2"/>
          <w:numId w:val="13"/>
        </w:numPr>
        <w:tabs>
          <w:tab w:val="left" w:pos="-1440"/>
        </w:tabs>
        <w:jc w:val="both"/>
        <w:rPr>
          <w:rFonts w:ascii="Arial" w:hAnsi="Arial" w:cs="Arial"/>
          <w:szCs w:val="24"/>
        </w:rPr>
      </w:pPr>
      <w:r w:rsidRPr="00F950FD">
        <w:rPr>
          <w:rFonts w:ascii="Arial" w:hAnsi="Arial" w:cs="Arial"/>
          <w:szCs w:val="24"/>
        </w:rPr>
        <w:t xml:space="preserve">Referrals for Groups--if the consumer/family is joining a group, the referring clinician is responsible for informing the group facilitator of the new referral for group and for letting clerical staff know to add them to the reminder call list.  Also, introduction may be made at the first group and after the documentation is completed, as opposed to a separate meeting.  </w:t>
      </w:r>
    </w:p>
    <w:p w:rsidR="004D2CAD" w:rsidRPr="00F950FD" w:rsidRDefault="00485378" w:rsidP="004D2CAD">
      <w:pPr>
        <w:numPr>
          <w:ilvl w:val="2"/>
          <w:numId w:val="13"/>
        </w:numPr>
        <w:tabs>
          <w:tab w:val="left" w:pos="-1440"/>
        </w:tabs>
        <w:jc w:val="both"/>
        <w:rPr>
          <w:rFonts w:ascii="Arial" w:hAnsi="Arial" w:cs="Arial"/>
          <w:szCs w:val="24"/>
        </w:rPr>
      </w:pPr>
      <w:r w:rsidRPr="00F950FD">
        <w:rPr>
          <w:rFonts w:ascii="Arial" w:hAnsi="Arial" w:cs="Arial"/>
          <w:szCs w:val="24"/>
        </w:rPr>
        <w:t xml:space="preserve">Medication Services – Introduction is made at the time of the initial psychiatric evaluation with the Psychiatrist.  </w:t>
      </w:r>
    </w:p>
    <w:p w:rsidR="004D2CAD" w:rsidRPr="00F950FD" w:rsidRDefault="00485378" w:rsidP="004D2CAD">
      <w:pPr>
        <w:numPr>
          <w:ilvl w:val="1"/>
          <w:numId w:val="13"/>
        </w:numPr>
        <w:tabs>
          <w:tab w:val="left" w:pos="-1440"/>
        </w:tabs>
        <w:jc w:val="both"/>
        <w:rPr>
          <w:rFonts w:ascii="Arial" w:hAnsi="Arial" w:cs="Arial"/>
          <w:szCs w:val="24"/>
        </w:rPr>
      </w:pPr>
      <w:r w:rsidRPr="00F950FD">
        <w:rPr>
          <w:rFonts w:ascii="Arial" w:hAnsi="Arial" w:cs="Arial"/>
          <w:szCs w:val="24"/>
        </w:rPr>
        <w:t>Once the transfer/referral occurs, the referring clinician &amp; referring supervisor follow up with the receiving clinician &amp; receiving supervisor to ensure services are occurring as scheduled.</w:t>
      </w:r>
    </w:p>
    <w:p w:rsidR="004D2CAD" w:rsidRPr="00F950FD" w:rsidRDefault="00485378" w:rsidP="004D2CAD">
      <w:pPr>
        <w:numPr>
          <w:ilvl w:val="1"/>
          <w:numId w:val="13"/>
        </w:numPr>
        <w:tabs>
          <w:tab w:val="left" w:pos="-1440"/>
        </w:tabs>
        <w:jc w:val="both"/>
        <w:rPr>
          <w:rFonts w:ascii="Arial" w:hAnsi="Arial" w:cs="Arial"/>
          <w:szCs w:val="24"/>
        </w:rPr>
      </w:pPr>
      <w:r w:rsidRPr="00F950FD">
        <w:rPr>
          <w:rFonts w:ascii="Arial" w:hAnsi="Arial" w:cs="Arial"/>
          <w:szCs w:val="24"/>
        </w:rPr>
        <w:t xml:space="preserve">Once the transfer/referral occurs, the receiving supervisor conducts follow up with the receiving clinician, including discussions in supervision, to ensure the </w:t>
      </w:r>
      <w:r w:rsidRPr="00F950FD">
        <w:rPr>
          <w:rFonts w:ascii="Arial" w:hAnsi="Arial" w:cs="Arial"/>
          <w:szCs w:val="24"/>
        </w:rPr>
        <w:lastRenderedPageBreak/>
        <w:t xml:space="preserve">consumer/family transfer/referral occurred as planned, and that services are occurring as scheduled for the new consumer/family. </w:t>
      </w:r>
    </w:p>
    <w:p w:rsidR="004D2CAD" w:rsidRPr="00F950FD" w:rsidRDefault="00485378" w:rsidP="00F950FD">
      <w:pPr>
        <w:numPr>
          <w:ilvl w:val="1"/>
          <w:numId w:val="13"/>
        </w:numPr>
        <w:tabs>
          <w:tab w:val="left" w:pos="-1440"/>
          <w:tab w:val="left" w:pos="1440"/>
        </w:tabs>
        <w:ind w:left="1440" w:hanging="720"/>
        <w:jc w:val="both"/>
        <w:rPr>
          <w:rFonts w:ascii="Arial" w:hAnsi="Arial" w:cs="Arial"/>
          <w:szCs w:val="24"/>
        </w:rPr>
      </w:pPr>
      <w:r w:rsidRPr="00F950FD">
        <w:rPr>
          <w:rFonts w:ascii="Arial" w:hAnsi="Arial" w:cs="Arial"/>
          <w:b/>
          <w:szCs w:val="24"/>
        </w:rPr>
        <w:t>Transfer or Referral documentation process—for referring between service types/programs</w:t>
      </w:r>
      <w:r w:rsidRPr="00F950FD">
        <w:rPr>
          <w:rFonts w:ascii="Arial" w:hAnsi="Arial" w:cs="Arial"/>
          <w:szCs w:val="24"/>
        </w:rPr>
        <w:t>:</w:t>
      </w:r>
    </w:p>
    <w:p w:rsidR="004D2CAD" w:rsidRPr="00F950FD" w:rsidRDefault="00485378" w:rsidP="004D2CAD">
      <w:pPr>
        <w:numPr>
          <w:ilvl w:val="2"/>
          <w:numId w:val="13"/>
        </w:numPr>
        <w:tabs>
          <w:tab w:val="left" w:pos="-1440"/>
        </w:tabs>
        <w:jc w:val="both"/>
        <w:rPr>
          <w:rFonts w:ascii="Arial" w:hAnsi="Arial" w:cs="Arial"/>
          <w:szCs w:val="24"/>
        </w:rPr>
      </w:pPr>
      <w:r w:rsidRPr="00F950FD">
        <w:rPr>
          <w:rFonts w:ascii="Arial" w:hAnsi="Arial" w:cs="Arial"/>
          <w:szCs w:val="24"/>
        </w:rPr>
        <w:t xml:space="preserve">The original primary clinician completes the Referral Transfer form, </w:t>
      </w:r>
      <w:r w:rsidR="009E7808" w:rsidRPr="00F950FD">
        <w:rPr>
          <w:rFonts w:ascii="Arial" w:hAnsi="Arial" w:cs="Arial"/>
          <w:szCs w:val="24"/>
        </w:rPr>
        <w:t xml:space="preserve">in the electronic health record. </w:t>
      </w:r>
      <w:r w:rsidRPr="00F950FD">
        <w:rPr>
          <w:rFonts w:ascii="Arial" w:hAnsi="Arial" w:cs="Arial"/>
          <w:szCs w:val="24"/>
        </w:rPr>
        <w:t xml:space="preserve"> </w:t>
      </w:r>
    </w:p>
    <w:p w:rsidR="004D2CAD" w:rsidRPr="00F950FD" w:rsidRDefault="00485378" w:rsidP="004D2CAD">
      <w:pPr>
        <w:numPr>
          <w:ilvl w:val="2"/>
          <w:numId w:val="13"/>
        </w:numPr>
        <w:tabs>
          <w:tab w:val="left" w:pos="-1440"/>
        </w:tabs>
        <w:jc w:val="both"/>
        <w:rPr>
          <w:rFonts w:ascii="Arial" w:hAnsi="Arial" w:cs="Arial"/>
          <w:szCs w:val="24"/>
        </w:rPr>
      </w:pPr>
      <w:r w:rsidRPr="00F950FD">
        <w:rPr>
          <w:rFonts w:ascii="Arial" w:hAnsi="Arial" w:cs="Arial"/>
          <w:szCs w:val="24"/>
        </w:rPr>
        <w:t xml:space="preserve">The two staff </w:t>
      </w:r>
      <w:proofErr w:type="gramStart"/>
      <w:r w:rsidRPr="00F950FD">
        <w:rPr>
          <w:rFonts w:ascii="Arial" w:hAnsi="Arial" w:cs="Arial"/>
          <w:szCs w:val="24"/>
        </w:rPr>
        <w:t>meet</w:t>
      </w:r>
      <w:proofErr w:type="gramEnd"/>
      <w:r w:rsidRPr="00F950FD">
        <w:rPr>
          <w:rFonts w:ascii="Arial" w:hAnsi="Arial" w:cs="Arial"/>
          <w:szCs w:val="24"/>
        </w:rPr>
        <w:t xml:space="preserve"> with the consumer/family to do the PCP Addendum.  The transferring/ referring supervisor reviews and signs the addendum.   (Note: steps 1 &amp; 2 may be interchangeable, or occur concurrently, depending on the circumstances with the consumer/family.)</w:t>
      </w:r>
    </w:p>
    <w:p w:rsidR="004D2CAD" w:rsidRPr="00F950FD" w:rsidRDefault="00485378" w:rsidP="004D2CAD">
      <w:pPr>
        <w:numPr>
          <w:ilvl w:val="2"/>
          <w:numId w:val="13"/>
        </w:numPr>
        <w:tabs>
          <w:tab w:val="left" w:pos="-1440"/>
        </w:tabs>
        <w:jc w:val="both"/>
        <w:rPr>
          <w:rFonts w:ascii="Arial" w:hAnsi="Arial" w:cs="Arial"/>
          <w:szCs w:val="24"/>
        </w:rPr>
      </w:pPr>
      <w:r w:rsidRPr="00F950FD">
        <w:rPr>
          <w:rFonts w:ascii="Arial" w:hAnsi="Arial" w:cs="Arial"/>
          <w:szCs w:val="24"/>
        </w:rPr>
        <w:t>The receiving clinician &amp; supervisor complete their portion of the form, &amp; the supervisor signs.</w:t>
      </w:r>
    </w:p>
    <w:p w:rsidR="004D2CAD" w:rsidRPr="00F950FD" w:rsidRDefault="00485378" w:rsidP="004D2CAD">
      <w:pPr>
        <w:numPr>
          <w:ilvl w:val="2"/>
          <w:numId w:val="13"/>
        </w:numPr>
        <w:tabs>
          <w:tab w:val="left" w:pos="-1440"/>
        </w:tabs>
        <w:jc w:val="both"/>
        <w:rPr>
          <w:rFonts w:ascii="Arial" w:hAnsi="Arial" w:cs="Arial"/>
          <w:szCs w:val="24"/>
        </w:rPr>
      </w:pPr>
      <w:r w:rsidRPr="00F950FD">
        <w:rPr>
          <w:rFonts w:ascii="Arial" w:hAnsi="Arial" w:cs="Arial"/>
          <w:szCs w:val="24"/>
        </w:rPr>
        <w:t>Any and all meetings, phone calls and/or letters sent concerning the transfer/referral are documented in the consumer/family record.</w:t>
      </w:r>
    </w:p>
    <w:p w:rsidR="004D2CAD" w:rsidRPr="00F950FD" w:rsidRDefault="00485378" w:rsidP="00F950FD">
      <w:pPr>
        <w:numPr>
          <w:ilvl w:val="1"/>
          <w:numId w:val="13"/>
        </w:numPr>
        <w:tabs>
          <w:tab w:val="left" w:pos="-1440"/>
        </w:tabs>
        <w:ind w:left="1440" w:hanging="720"/>
        <w:jc w:val="both"/>
        <w:rPr>
          <w:rFonts w:ascii="Arial" w:hAnsi="Arial" w:cs="Arial"/>
          <w:szCs w:val="24"/>
        </w:rPr>
      </w:pPr>
      <w:r w:rsidRPr="00F950FD">
        <w:rPr>
          <w:rFonts w:ascii="Arial" w:hAnsi="Arial" w:cs="Arial"/>
          <w:b/>
          <w:szCs w:val="24"/>
        </w:rPr>
        <w:t>Transfer or Referral documentation process—for referring between workers within the same service type/change of primary clinician within same service</w:t>
      </w:r>
      <w:r w:rsidRPr="00F950FD">
        <w:rPr>
          <w:rFonts w:ascii="Arial" w:hAnsi="Arial" w:cs="Arial"/>
          <w:szCs w:val="24"/>
        </w:rPr>
        <w:t>:</w:t>
      </w:r>
    </w:p>
    <w:p w:rsidR="004D2CAD" w:rsidRPr="00F950FD" w:rsidRDefault="00485378" w:rsidP="004D2CAD">
      <w:pPr>
        <w:numPr>
          <w:ilvl w:val="2"/>
          <w:numId w:val="13"/>
        </w:numPr>
        <w:tabs>
          <w:tab w:val="left" w:pos="-1440"/>
        </w:tabs>
        <w:jc w:val="both"/>
        <w:rPr>
          <w:rFonts w:ascii="Arial" w:hAnsi="Arial" w:cs="Arial"/>
          <w:szCs w:val="24"/>
        </w:rPr>
      </w:pPr>
      <w:r w:rsidRPr="00F950FD">
        <w:rPr>
          <w:rFonts w:ascii="Arial" w:hAnsi="Arial" w:cs="Arial"/>
          <w:szCs w:val="24"/>
        </w:rPr>
        <w:t>The two staff meet with the consumer/family for a joint first meeting—“warm handoff.”  This is to introduce the consumer/family to the new staff, to become acquainted with each other, and to have a discussion on current services of the consumer/family—a general review of the plan, type and frequency of services being provided, and status towards goals.</w:t>
      </w:r>
    </w:p>
    <w:p w:rsidR="004D2CAD" w:rsidRPr="00F950FD" w:rsidRDefault="00485378" w:rsidP="004D2CAD">
      <w:pPr>
        <w:numPr>
          <w:ilvl w:val="2"/>
          <w:numId w:val="13"/>
        </w:numPr>
        <w:tabs>
          <w:tab w:val="left" w:pos="-1440"/>
        </w:tabs>
        <w:jc w:val="both"/>
        <w:rPr>
          <w:rFonts w:ascii="Arial" w:hAnsi="Arial" w:cs="Arial"/>
          <w:szCs w:val="24"/>
        </w:rPr>
      </w:pPr>
      <w:r w:rsidRPr="00F950FD">
        <w:rPr>
          <w:rFonts w:ascii="Arial" w:hAnsi="Arial" w:cs="Arial"/>
          <w:szCs w:val="24"/>
        </w:rPr>
        <w:t xml:space="preserve">The receiving clinician submits a Change </w:t>
      </w:r>
      <w:proofErr w:type="gramStart"/>
      <w:r w:rsidRPr="00F950FD">
        <w:rPr>
          <w:rFonts w:ascii="Arial" w:hAnsi="Arial" w:cs="Arial"/>
          <w:szCs w:val="24"/>
        </w:rPr>
        <w:t>Of</w:t>
      </w:r>
      <w:proofErr w:type="gramEnd"/>
      <w:r w:rsidRPr="00F950FD">
        <w:rPr>
          <w:rFonts w:ascii="Arial" w:hAnsi="Arial" w:cs="Arial"/>
          <w:szCs w:val="24"/>
        </w:rPr>
        <w:t xml:space="preserve"> Status email informing med records of the change in primary worker.</w:t>
      </w:r>
    </w:p>
    <w:p w:rsidR="004D2CAD" w:rsidRPr="00F950FD" w:rsidRDefault="00485378" w:rsidP="004D2CAD">
      <w:pPr>
        <w:numPr>
          <w:ilvl w:val="2"/>
          <w:numId w:val="13"/>
        </w:numPr>
        <w:tabs>
          <w:tab w:val="left" w:pos="-1440"/>
        </w:tabs>
        <w:jc w:val="both"/>
        <w:rPr>
          <w:rFonts w:ascii="Arial" w:hAnsi="Arial" w:cs="Arial"/>
          <w:szCs w:val="24"/>
        </w:rPr>
      </w:pPr>
      <w:r w:rsidRPr="00F950FD">
        <w:rPr>
          <w:rFonts w:ascii="Arial" w:hAnsi="Arial" w:cs="Arial"/>
          <w:szCs w:val="24"/>
        </w:rPr>
        <w:t>Any and all meetings, phone calls and/or letters sent concerning the transfer/referral are documented in the consumer/family record.</w:t>
      </w:r>
    </w:p>
    <w:p w:rsidR="00B4524D" w:rsidRPr="00F950FD" w:rsidRDefault="00B4524D">
      <w:pPr>
        <w:jc w:val="both"/>
        <w:rPr>
          <w:rFonts w:ascii="Arial" w:hAnsi="Arial" w:cs="Arial"/>
          <w:szCs w:val="24"/>
        </w:rPr>
      </w:pPr>
    </w:p>
    <w:p w:rsidR="00B4524D" w:rsidRPr="00F950FD" w:rsidRDefault="00B4524D">
      <w:pPr>
        <w:tabs>
          <w:tab w:val="left" w:pos="-1440"/>
        </w:tabs>
        <w:jc w:val="both"/>
        <w:rPr>
          <w:rFonts w:ascii="Arial" w:hAnsi="Arial" w:cs="Arial"/>
          <w:szCs w:val="24"/>
        </w:rPr>
      </w:pPr>
      <w:r w:rsidRPr="00F950FD">
        <w:rPr>
          <w:rFonts w:ascii="Arial" w:hAnsi="Arial" w:cs="Arial"/>
          <w:b/>
          <w:szCs w:val="24"/>
        </w:rPr>
        <w:t xml:space="preserve">5.0 </w:t>
      </w:r>
      <w:r w:rsidRPr="00F950FD">
        <w:rPr>
          <w:rFonts w:ascii="Arial" w:hAnsi="Arial" w:cs="Arial"/>
          <w:b/>
          <w:szCs w:val="24"/>
        </w:rPr>
        <w:tab/>
        <w:t>Missed or Cancelled Appointments</w:t>
      </w:r>
    </w:p>
    <w:p w:rsidR="00B4524D" w:rsidRPr="00F950FD" w:rsidRDefault="00B4524D">
      <w:pPr>
        <w:jc w:val="both"/>
        <w:rPr>
          <w:rFonts w:ascii="Arial" w:hAnsi="Arial" w:cs="Arial"/>
          <w:szCs w:val="24"/>
        </w:rPr>
      </w:pPr>
    </w:p>
    <w:p w:rsidR="00B4524D" w:rsidRPr="00F950FD" w:rsidRDefault="00B4524D">
      <w:pPr>
        <w:ind w:left="720"/>
        <w:jc w:val="both"/>
        <w:rPr>
          <w:rFonts w:ascii="Arial" w:hAnsi="Arial" w:cs="Arial"/>
          <w:szCs w:val="24"/>
        </w:rPr>
      </w:pPr>
      <w:r w:rsidRPr="00F950FD">
        <w:rPr>
          <w:rFonts w:ascii="Arial" w:hAnsi="Arial" w:cs="Arial"/>
          <w:szCs w:val="24"/>
        </w:rPr>
        <w:t xml:space="preserve">Each </w:t>
      </w:r>
      <w:r w:rsidR="007127FD" w:rsidRPr="00F950FD">
        <w:rPr>
          <w:rFonts w:ascii="Arial" w:hAnsi="Arial" w:cs="Arial"/>
          <w:szCs w:val="24"/>
        </w:rPr>
        <w:t>worker</w:t>
      </w:r>
      <w:r w:rsidR="00F22D61" w:rsidRPr="00F950FD">
        <w:rPr>
          <w:rFonts w:ascii="Arial" w:hAnsi="Arial" w:cs="Arial"/>
          <w:szCs w:val="24"/>
        </w:rPr>
        <w:t xml:space="preserve"> </w:t>
      </w:r>
      <w:r w:rsidR="00FA5611" w:rsidRPr="00F950FD">
        <w:rPr>
          <w:rFonts w:ascii="Arial" w:hAnsi="Arial" w:cs="Arial"/>
          <w:szCs w:val="24"/>
        </w:rPr>
        <w:t>shall</w:t>
      </w:r>
      <w:r w:rsidRPr="00F950FD">
        <w:rPr>
          <w:rFonts w:ascii="Arial" w:hAnsi="Arial" w:cs="Arial"/>
          <w:szCs w:val="24"/>
        </w:rPr>
        <w:t xml:space="preserve"> address</w:t>
      </w:r>
      <w:r w:rsidR="007127FD" w:rsidRPr="00F950FD">
        <w:rPr>
          <w:rFonts w:ascii="Arial" w:hAnsi="Arial" w:cs="Arial"/>
          <w:szCs w:val="24"/>
        </w:rPr>
        <w:t xml:space="preserve"> and document</w:t>
      </w:r>
      <w:r w:rsidRPr="00F950FD">
        <w:rPr>
          <w:rFonts w:ascii="Arial" w:hAnsi="Arial" w:cs="Arial"/>
          <w:szCs w:val="24"/>
        </w:rPr>
        <w:t xml:space="preserve"> missed or cancelled appointments.</w:t>
      </w:r>
    </w:p>
    <w:p w:rsidR="00354353" w:rsidRPr="00F950FD" w:rsidRDefault="00354353">
      <w:pPr>
        <w:jc w:val="both"/>
        <w:rPr>
          <w:rFonts w:ascii="Arial" w:hAnsi="Arial" w:cs="Arial"/>
          <w:szCs w:val="24"/>
        </w:rPr>
      </w:pPr>
    </w:p>
    <w:p w:rsidR="004D2CAD" w:rsidRPr="00F950FD" w:rsidRDefault="00487C5F" w:rsidP="004D2CAD">
      <w:pPr>
        <w:numPr>
          <w:ilvl w:val="0"/>
          <w:numId w:val="6"/>
        </w:numPr>
        <w:tabs>
          <w:tab w:val="clear" w:pos="1440"/>
          <w:tab w:val="left" w:pos="-1440"/>
          <w:tab w:val="num" w:pos="720"/>
        </w:tabs>
        <w:ind w:left="720"/>
        <w:jc w:val="both"/>
        <w:rPr>
          <w:rFonts w:ascii="Arial" w:hAnsi="Arial" w:cs="Arial"/>
          <w:b/>
          <w:szCs w:val="24"/>
        </w:rPr>
      </w:pPr>
      <w:r w:rsidRPr="00F950FD">
        <w:rPr>
          <w:rFonts w:ascii="Arial" w:hAnsi="Arial" w:cs="Arial"/>
          <w:b/>
          <w:szCs w:val="24"/>
        </w:rPr>
        <w:t>Termination of Services</w:t>
      </w:r>
    </w:p>
    <w:p w:rsidR="004D2CAD" w:rsidRPr="00F950FD" w:rsidRDefault="00485378" w:rsidP="004D2CAD">
      <w:pPr>
        <w:numPr>
          <w:ilvl w:val="1"/>
          <w:numId w:val="6"/>
        </w:numPr>
        <w:tabs>
          <w:tab w:val="left" w:pos="-1440"/>
        </w:tabs>
        <w:jc w:val="both"/>
        <w:rPr>
          <w:rFonts w:ascii="Arial" w:hAnsi="Arial" w:cs="Arial"/>
          <w:b/>
          <w:szCs w:val="24"/>
        </w:rPr>
      </w:pPr>
      <w:r w:rsidRPr="00F950FD">
        <w:rPr>
          <w:rFonts w:ascii="Arial" w:hAnsi="Arial" w:cs="Arial"/>
          <w:szCs w:val="24"/>
        </w:rPr>
        <w:lastRenderedPageBreak/>
        <w:t xml:space="preserve">The primary clinician will first discuss termination with the consumer/family whenever possible (unless consumer is not physically available for meeting, e.g., is unable to be found/contacted.)   Note:  If a consumer has a guardian, or other significantly involved support or caregivers, the involvement of these individuals </w:t>
      </w:r>
      <w:r w:rsidRPr="00F950FD">
        <w:rPr>
          <w:rFonts w:ascii="Arial" w:hAnsi="Arial" w:cs="Arial"/>
          <w:i/>
          <w:szCs w:val="24"/>
        </w:rPr>
        <w:t>must also be considered</w:t>
      </w:r>
      <w:r w:rsidRPr="00F950FD">
        <w:rPr>
          <w:rFonts w:ascii="Arial" w:hAnsi="Arial" w:cs="Arial"/>
          <w:szCs w:val="24"/>
        </w:rPr>
        <w:t>, and included when appropriate, throughout the termination process.</w:t>
      </w:r>
    </w:p>
    <w:p w:rsidR="004D2CAD" w:rsidRPr="00F950FD" w:rsidRDefault="00485378" w:rsidP="004D2CAD">
      <w:pPr>
        <w:numPr>
          <w:ilvl w:val="1"/>
          <w:numId w:val="6"/>
        </w:numPr>
        <w:tabs>
          <w:tab w:val="left" w:pos="-1440"/>
        </w:tabs>
        <w:jc w:val="both"/>
        <w:rPr>
          <w:rFonts w:ascii="Arial" w:hAnsi="Arial" w:cs="Arial"/>
          <w:b/>
          <w:szCs w:val="24"/>
        </w:rPr>
      </w:pPr>
      <w:r w:rsidRPr="00F950FD">
        <w:rPr>
          <w:rFonts w:ascii="Arial" w:hAnsi="Arial" w:cs="Arial"/>
          <w:szCs w:val="24"/>
        </w:rPr>
        <w:t>The primary clinician shall then discuss termination of the consumer/family with their supervisor.  Note:  If a consumer receives other ICCMHA services, the primary clinician must also discuss/consult regarding the termination of the consumer/family with all involved staff.</w:t>
      </w:r>
    </w:p>
    <w:p w:rsidR="004D2CAD" w:rsidRPr="00F950FD" w:rsidRDefault="00485378" w:rsidP="004D2CAD">
      <w:pPr>
        <w:numPr>
          <w:ilvl w:val="1"/>
          <w:numId w:val="6"/>
        </w:numPr>
        <w:tabs>
          <w:tab w:val="left" w:pos="-1440"/>
        </w:tabs>
        <w:jc w:val="both"/>
        <w:rPr>
          <w:rFonts w:ascii="Arial" w:hAnsi="Arial" w:cs="Arial"/>
          <w:b/>
          <w:szCs w:val="24"/>
        </w:rPr>
      </w:pPr>
      <w:r w:rsidRPr="00F950FD">
        <w:rPr>
          <w:rFonts w:ascii="Arial" w:hAnsi="Arial" w:cs="Arial"/>
          <w:szCs w:val="24"/>
        </w:rPr>
        <w:t>Termination processes shall continue if supervisor determines that the consumer/family meets at least one of the following criteria for discharge:</w:t>
      </w:r>
    </w:p>
    <w:p w:rsidR="004D2CAD" w:rsidRPr="00F950FD" w:rsidRDefault="00485378" w:rsidP="004D2CAD">
      <w:pPr>
        <w:numPr>
          <w:ilvl w:val="2"/>
          <w:numId w:val="6"/>
        </w:numPr>
        <w:tabs>
          <w:tab w:val="left" w:pos="-1440"/>
        </w:tabs>
        <w:jc w:val="both"/>
        <w:rPr>
          <w:rFonts w:ascii="Arial" w:hAnsi="Arial" w:cs="Arial"/>
          <w:b/>
          <w:szCs w:val="24"/>
        </w:rPr>
      </w:pPr>
      <w:r w:rsidRPr="00F950FD">
        <w:rPr>
          <w:rFonts w:ascii="Arial" w:hAnsi="Arial" w:cs="Arial"/>
          <w:szCs w:val="24"/>
        </w:rPr>
        <w:t>Consumer/family has achieved all treatment goals to the satisfaction of the consumer.</w:t>
      </w:r>
    </w:p>
    <w:p w:rsidR="004D2CAD" w:rsidRPr="00F950FD" w:rsidRDefault="00485378" w:rsidP="004D2CAD">
      <w:pPr>
        <w:numPr>
          <w:ilvl w:val="2"/>
          <w:numId w:val="6"/>
        </w:numPr>
        <w:tabs>
          <w:tab w:val="left" w:pos="-1440"/>
        </w:tabs>
        <w:jc w:val="both"/>
        <w:rPr>
          <w:rFonts w:ascii="Arial" w:hAnsi="Arial" w:cs="Arial"/>
          <w:b/>
          <w:szCs w:val="24"/>
        </w:rPr>
      </w:pPr>
      <w:r w:rsidRPr="00F950FD">
        <w:rPr>
          <w:rFonts w:ascii="Arial" w:hAnsi="Arial" w:cs="Arial"/>
          <w:szCs w:val="24"/>
        </w:rPr>
        <w:t>Consumer/family no longer meets medical necessity for services.</w:t>
      </w:r>
    </w:p>
    <w:p w:rsidR="004D2CAD" w:rsidRPr="00F950FD" w:rsidRDefault="00485378" w:rsidP="004D2CAD">
      <w:pPr>
        <w:numPr>
          <w:ilvl w:val="2"/>
          <w:numId w:val="6"/>
        </w:numPr>
        <w:tabs>
          <w:tab w:val="left" w:pos="-1440"/>
        </w:tabs>
        <w:jc w:val="both"/>
        <w:rPr>
          <w:rFonts w:ascii="Arial" w:hAnsi="Arial" w:cs="Arial"/>
          <w:b/>
          <w:szCs w:val="24"/>
        </w:rPr>
      </w:pPr>
      <w:r w:rsidRPr="00F950FD">
        <w:rPr>
          <w:rFonts w:ascii="Arial" w:hAnsi="Arial" w:cs="Arial"/>
          <w:szCs w:val="24"/>
        </w:rPr>
        <w:t>Consumer/family specifically requests they be terminated from services.</w:t>
      </w:r>
    </w:p>
    <w:p w:rsidR="004D2CAD" w:rsidRPr="00F950FD" w:rsidRDefault="00485378" w:rsidP="004D2CAD">
      <w:pPr>
        <w:numPr>
          <w:ilvl w:val="2"/>
          <w:numId w:val="6"/>
        </w:numPr>
        <w:tabs>
          <w:tab w:val="left" w:pos="-1440"/>
        </w:tabs>
        <w:jc w:val="both"/>
        <w:rPr>
          <w:rFonts w:ascii="Arial" w:hAnsi="Arial" w:cs="Arial"/>
          <w:b/>
          <w:szCs w:val="24"/>
        </w:rPr>
      </w:pPr>
      <w:r w:rsidRPr="00F950FD">
        <w:rPr>
          <w:rFonts w:ascii="Arial" w:hAnsi="Arial" w:cs="Arial"/>
          <w:szCs w:val="24"/>
        </w:rPr>
        <w:t>Consumer/family has left service area.</w:t>
      </w:r>
    </w:p>
    <w:p w:rsidR="004D2CAD" w:rsidRPr="00F950FD" w:rsidRDefault="00485378" w:rsidP="004D2CAD">
      <w:pPr>
        <w:numPr>
          <w:ilvl w:val="2"/>
          <w:numId w:val="6"/>
        </w:numPr>
        <w:tabs>
          <w:tab w:val="left" w:pos="-1440"/>
        </w:tabs>
        <w:jc w:val="both"/>
        <w:rPr>
          <w:rFonts w:ascii="Arial" w:hAnsi="Arial" w:cs="Arial"/>
          <w:b/>
          <w:szCs w:val="24"/>
        </w:rPr>
      </w:pPr>
      <w:r w:rsidRPr="00F950FD">
        <w:rPr>
          <w:rFonts w:ascii="Arial" w:hAnsi="Arial" w:cs="Arial"/>
          <w:szCs w:val="24"/>
        </w:rPr>
        <w:t xml:space="preserve">Consumer/family has not returned for services, despite primary clinician’s assertive attempts to try and connect with the consumer/family (by phone, letters and unscheduled home visit attempts when appropriate.) </w:t>
      </w:r>
    </w:p>
    <w:p w:rsidR="004D2CAD" w:rsidRPr="00F950FD" w:rsidRDefault="00485378" w:rsidP="004D2CAD">
      <w:pPr>
        <w:numPr>
          <w:ilvl w:val="2"/>
          <w:numId w:val="6"/>
        </w:numPr>
        <w:tabs>
          <w:tab w:val="left" w:pos="-1440"/>
        </w:tabs>
        <w:jc w:val="both"/>
        <w:rPr>
          <w:rFonts w:ascii="Arial" w:hAnsi="Arial" w:cs="Arial"/>
          <w:b/>
          <w:szCs w:val="24"/>
        </w:rPr>
      </w:pPr>
      <w:r w:rsidRPr="00F950FD">
        <w:rPr>
          <w:rFonts w:ascii="Arial" w:hAnsi="Arial" w:cs="Arial"/>
          <w:szCs w:val="24"/>
        </w:rPr>
        <w:t>Death of the consumer.</w:t>
      </w:r>
    </w:p>
    <w:p w:rsidR="004D2CAD" w:rsidRPr="00F950FD" w:rsidRDefault="00485378" w:rsidP="004D2CAD">
      <w:pPr>
        <w:numPr>
          <w:ilvl w:val="1"/>
          <w:numId w:val="6"/>
        </w:numPr>
        <w:tabs>
          <w:tab w:val="left" w:pos="-1440"/>
        </w:tabs>
        <w:jc w:val="both"/>
        <w:rPr>
          <w:rFonts w:ascii="Arial" w:hAnsi="Arial" w:cs="Arial"/>
          <w:b/>
          <w:szCs w:val="24"/>
        </w:rPr>
      </w:pPr>
      <w:r w:rsidRPr="00F950FD">
        <w:rPr>
          <w:rFonts w:ascii="Arial" w:hAnsi="Arial" w:cs="Arial"/>
          <w:szCs w:val="24"/>
        </w:rPr>
        <w:t xml:space="preserve">The primary </w:t>
      </w:r>
      <w:r w:rsidR="00580B0E" w:rsidRPr="00F950FD">
        <w:rPr>
          <w:rFonts w:ascii="Arial" w:hAnsi="Arial" w:cs="Arial"/>
          <w:szCs w:val="24"/>
        </w:rPr>
        <w:t>worker</w:t>
      </w:r>
      <w:r w:rsidRPr="00F950FD">
        <w:rPr>
          <w:rFonts w:ascii="Arial" w:hAnsi="Arial" w:cs="Arial"/>
          <w:szCs w:val="24"/>
        </w:rPr>
        <w:t xml:space="preserve"> completes any final meetings with the consumer/family, whenever possible, to “wrap-up” services and to discuss referral to services or resources outside of agency if needed, and discuss process for reconnecting with CMH services in the future if needed.</w:t>
      </w:r>
    </w:p>
    <w:p w:rsidR="004D2CAD" w:rsidRPr="00F950FD" w:rsidRDefault="00580B0E" w:rsidP="004D2CAD">
      <w:pPr>
        <w:numPr>
          <w:ilvl w:val="1"/>
          <w:numId w:val="6"/>
        </w:numPr>
        <w:tabs>
          <w:tab w:val="left" w:pos="-1440"/>
        </w:tabs>
        <w:jc w:val="both"/>
        <w:rPr>
          <w:rFonts w:ascii="Arial" w:hAnsi="Arial" w:cs="Arial"/>
          <w:b/>
          <w:szCs w:val="24"/>
        </w:rPr>
      </w:pPr>
      <w:r w:rsidRPr="00F950FD">
        <w:rPr>
          <w:rFonts w:ascii="Arial" w:hAnsi="Arial" w:cs="Arial"/>
          <w:szCs w:val="24"/>
        </w:rPr>
        <w:t xml:space="preserve">The primary worker </w:t>
      </w:r>
      <w:r w:rsidR="004D2CAD" w:rsidRPr="00F950FD">
        <w:rPr>
          <w:rFonts w:ascii="Arial" w:hAnsi="Arial" w:cs="Arial"/>
          <w:szCs w:val="24"/>
        </w:rPr>
        <w:t xml:space="preserve">completes the advance/adequate notice, signs it, and messages Supervisor that the consumer is closing. Staff starts the discharge summary document in Streamline. </w:t>
      </w:r>
    </w:p>
    <w:p w:rsidR="004D2CAD" w:rsidRPr="00F950FD" w:rsidRDefault="004D2CAD" w:rsidP="004D2CAD">
      <w:pPr>
        <w:numPr>
          <w:ilvl w:val="1"/>
          <w:numId w:val="6"/>
        </w:numPr>
        <w:tabs>
          <w:tab w:val="left" w:pos="-1440"/>
        </w:tabs>
        <w:jc w:val="both"/>
        <w:rPr>
          <w:rFonts w:ascii="Arial" w:hAnsi="Arial" w:cs="Arial"/>
          <w:b/>
          <w:szCs w:val="24"/>
        </w:rPr>
      </w:pPr>
      <w:r w:rsidRPr="00F950FD">
        <w:rPr>
          <w:rFonts w:ascii="Arial" w:hAnsi="Arial" w:cs="Arial"/>
          <w:szCs w:val="24"/>
        </w:rPr>
        <w:lastRenderedPageBreak/>
        <w:t xml:space="preserve">If the supervisor approves the termination then the Supervisor will forward the message to Medical Records and the primary worker. </w:t>
      </w:r>
    </w:p>
    <w:p w:rsidR="004D2CAD" w:rsidRPr="00F950FD" w:rsidRDefault="004D2CAD" w:rsidP="004D2CAD">
      <w:pPr>
        <w:numPr>
          <w:ilvl w:val="1"/>
          <w:numId w:val="6"/>
        </w:numPr>
        <w:tabs>
          <w:tab w:val="left" w:pos="-1440"/>
        </w:tabs>
        <w:jc w:val="both"/>
        <w:rPr>
          <w:rFonts w:ascii="Arial" w:hAnsi="Arial" w:cs="Arial"/>
          <w:b/>
          <w:szCs w:val="24"/>
        </w:rPr>
      </w:pPr>
      <w:r w:rsidRPr="00F950FD">
        <w:rPr>
          <w:rFonts w:ascii="Arial" w:hAnsi="Arial" w:cs="Arial"/>
          <w:szCs w:val="24"/>
        </w:rPr>
        <w:t xml:space="preserve">Medical Records will print and mail out the advance/adequate notice and track the termination within a separate Termination database. </w:t>
      </w:r>
    </w:p>
    <w:p w:rsidR="004D2CAD" w:rsidRPr="00F950FD" w:rsidRDefault="004D2CAD" w:rsidP="004D2CAD">
      <w:pPr>
        <w:numPr>
          <w:ilvl w:val="1"/>
          <w:numId w:val="6"/>
        </w:numPr>
        <w:tabs>
          <w:tab w:val="left" w:pos="-1440"/>
        </w:tabs>
        <w:jc w:val="both"/>
        <w:rPr>
          <w:rFonts w:ascii="Arial" w:hAnsi="Arial" w:cs="Arial"/>
          <w:b/>
          <w:szCs w:val="24"/>
        </w:rPr>
      </w:pPr>
      <w:r w:rsidRPr="00F950FD">
        <w:rPr>
          <w:rFonts w:ascii="Arial" w:hAnsi="Arial" w:cs="Arial"/>
          <w:szCs w:val="24"/>
        </w:rPr>
        <w:t xml:space="preserve">Medical Records will create a flag on the consumer that they are in the process of closing and enter a start and end date on the flag. </w:t>
      </w:r>
    </w:p>
    <w:p w:rsidR="004D2CAD" w:rsidRPr="00F950FD" w:rsidRDefault="004D2CAD" w:rsidP="004D2CAD">
      <w:pPr>
        <w:numPr>
          <w:ilvl w:val="1"/>
          <w:numId w:val="6"/>
        </w:numPr>
        <w:tabs>
          <w:tab w:val="left" w:pos="-1440"/>
        </w:tabs>
        <w:jc w:val="both"/>
        <w:rPr>
          <w:rFonts w:ascii="Arial" w:hAnsi="Arial" w:cs="Arial"/>
          <w:b/>
          <w:szCs w:val="24"/>
        </w:rPr>
      </w:pPr>
      <w:r w:rsidRPr="00F950FD">
        <w:rPr>
          <w:rFonts w:ascii="Arial" w:hAnsi="Arial" w:cs="Arial"/>
          <w:szCs w:val="24"/>
        </w:rPr>
        <w:t xml:space="preserve"> Once the elapsed time has passed Medical Records will message staff that they can complete the discharge summary. </w:t>
      </w:r>
    </w:p>
    <w:p w:rsidR="004D2CAD" w:rsidRPr="00F950FD" w:rsidRDefault="004D2CAD" w:rsidP="004D2CAD">
      <w:pPr>
        <w:numPr>
          <w:ilvl w:val="1"/>
          <w:numId w:val="6"/>
        </w:numPr>
        <w:tabs>
          <w:tab w:val="left" w:pos="-1440"/>
        </w:tabs>
        <w:jc w:val="both"/>
        <w:rPr>
          <w:rFonts w:ascii="Arial" w:hAnsi="Arial" w:cs="Arial"/>
          <w:b/>
          <w:szCs w:val="24"/>
        </w:rPr>
      </w:pPr>
      <w:r w:rsidRPr="00F950FD">
        <w:rPr>
          <w:rFonts w:ascii="Arial" w:hAnsi="Arial" w:cs="Arial"/>
          <w:szCs w:val="24"/>
        </w:rPr>
        <w:t xml:space="preserve">Medical Records will then close the programs &amp; episodes. </w:t>
      </w:r>
    </w:p>
    <w:p w:rsidR="004D2CAD" w:rsidRPr="00F950FD" w:rsidRDefault="004D2CAD" w:rsidP="004D2CAD">
      <w:pPr>
        <w:numPr>
          <w:ilvl w:val="1"/>
          <w:numId w:val="6"/>
        </w:numPr>
        <w:tabs>
          <w:tab w:val="left" w:pos="-1440"/>
        </w:tabs>
        <w:jc w:val="both"/>
        <w:rPr>
          <w:rFonts w:ascii="Arial" w:hAnsi="Arial" w:cs="Arial"/>
          <w:b/>
          <w:szCs w:val="24"/>
        </w:rPr>
      </w:pPr>
      <w:r w:rsidRPr="00F950FD">
        <w:rPr>
          <w:rFonts w:ascii="Arial" w:hAnsi="Arial" w:cs="Arial"/>
          <w:szCs w:val="24"/>
        </w:rPr>
        <w:t xml:space="preserve">Staffs complete the discharge summary, message supervisor for review if needed. </w:t>
      </w:r>
    </w:p>
    <w:p w:rsidR="004D2CAD" w:rsidRPr="00F950FD" w:rsidRDefault="004D2CAD" w:rsidP="004D2CAD">
      <w:pPr>
        <w:numPr>
          <w:ilvl w:val="2"/>
          <w:numId w:val="6"/>
        </w:numPr>
        <w:tabs>
          <w:tab w:val="left" w:pos="-1440"/>
        </w:tabs>
        <w:jc w:val="both"/>
        <w:rPr>
          <w:rFonts w:ascii="Arial" w:hAnsi="Arial" w:cs="Arial"/>
          <w:b/>
          <w:szCs w:val="24"/>
        </w:rPr>
      </w:pPr>
      <w:r w:rsidRPr="00F950FD">
        <w:rPr>
          <w:rFonts w:ascii="Arial" w:hAnsi="Arial" w:cs="Arial"/>
          <w:szCs w:val="24"/>
        </w:rPr>
        <w:t xml:space="preserve">NOTE: IF THE DISCHARGE SUMMARY NEEDS TO BE CO-SIGNED BY THE SUPERVISOR THE STAFF WILL ADD THEM AS A CO-SIGNER. </w:t>
      </w:r>
    </w:p>
    <w:p w:rsidR="004D2CAD" w:rsidRPr="00F950FD" w:rsidRDefault="004D2CAD" w:rsidP="004D2CAD">
      <w:pPr>
        <w:numPr>
          <w:ilvl w:val="1"/>
          <w:numId w:val="6"/>
        </w:numPr>
        <w:tabs>
          <w:tab w:val="left" w:pos="-1440"/>
        </w:tabs>
        <w:jc w:val="both"/>
        <w:rPr>
          <w:rFonts w:ascii="Arial" w:hAnsi="Arial" w:cs="Arial"/>
          <w:b/>
          <w:szCs w:val="24"/>
        </w:rPr>
      </w:pPr>
      <w:r w:rsidRPr="00F950FD">
        <w:rPr>
          <w:rFonts w:ascii="Arial" w:hAnsi="Arial" w:cs="Arial"/>
          <w:b/>
          <w:bCs/>
          <w:szCs w:val="24"/>
        </w:rPr>
        <w:t>THERE ARE EXCEPTIONS TO PROVIDING AN ADVANCE NOTICE:</w:t>
      </w:r>
    </w:p>
    <w:p w:rsidR="004D2CAD" w:rsidRPr="00F950FD" w:rsidRDefault="004D2CAD" w:rsidP="004D2CAD">
      <w:pPr>
        <w:numPr>
          <w:ilvl w:val="2"/>
          <w:numId w:val="6"/>
        </w:numPr>
        <w:tabs>
          <w:tab w:val="left" w:pos="-1440"/>
        </w:tabs>
        <w:jc w:val="both"/>
        <w:rPr>
          <w:rFonts w:ascii="Arial" w:hAnsi="Arial" w:cs="Arial"/>
          <w:b/>
          <w:szCs w:val="24"/>
        </w:rPr>
      </w:pPr>
      <w:r w:rsidRPr="00F950FD">
        <w:rPr>
          <w:rFonts w:ascii="Arial" w:hAnsi="Arial" w:cs="Arial"/>
          <w:szCs w:val="24"/>
        </w:rPr>
        <w:t xml:space="preserve">An advance notice is required if you are terminating all agency services (i.e., terminating for the purpose of closing the case completely), </w:t>
      </w:r>
      <w:r w:rsidRPr="00F950FD">
        <w:rPr>
          <w:rFonts w:ascii="Arial" w:hAnsi="Arial" w:cs="Arial"/>
          <w:b/>
          <w:bCs/>
          <w:szCs w:val="24"/>
        </w:rPr>
        <w:t xml:space="preserve">UNLESS </w:t>
      </w:r>
      <w:r w:rsidRPr="00F950FD">
        <w:rPr>
          <w:rFonts w:ascii="Arial" w:hAnsi="Arial" w:cs="Arial"/>
          <w:szCs w:val="24"/>
        </w:rPr>
        <w:t xml:space="preserve">one of the following occurs: </w:t>
      </w:r>
    </w:p>
    <w:p w:rsidR="004D2CAD" w:rsidRPr="00F950FD" w:rsidRDefault="004D2CAD" w:rsidP="004D2CAD">
      <w:pPr>
        <w:numPr>
          <w:ilvl w:val="3"/>
          <w:numId w:val="6"/>
        </w:numPr>
        <w:tabs>
          <w:tab w:val="left" w:pos="-1440"/>
        </w:tabs>
        <w:jc w:val="both"/>
        <w:rPr>
          <w:rFonts w:ascii="Arial" w:hAnsi="Arial" w:cs="Arial"/>
          <w:b/>
          <w:szCs w:val="24"/>
        </w:rPr>
      </w:pPr>
      <w:r w:rsidRPr="00F950FD">
        <w:rPr>
          <w:rFonts w:ascii="Arial" w:hAnsi="Arial" w:cs="Arial"/>
          <w:szCs w:val="24"/>
        </w:rPr>
        <w:t xml:space="preserve">closing due to death of the consumer </w:t>
      </w:r>
    </w:p>
    <w:p w:rsidR="004D2CAD" w:rsidRPr="00F950FD" w:rsidRDefault="004D2CAD" w:rsidP="004D2CAD">
      <w:pPr>
        <w:numPr>
          <w:ilvl w:val="3"/>
          <w:numId w:val="6"/>
        </w:numPr>
        <w:tabs>
          <w:tab w:val="left" w:pos="-1440"/>
        </w:tabs>
        <w:jc w:val="both"/>
        <w:rPr>
          <w:rFonts w:ascii="Arial" w:hAnsi="Arial" w:cs="Arial"/>
          <w:b/>
          <w:szCs w:val="24"/>
        </w:rPr>
      </w:pPr>
      <w:proofErr w:type="gramStart"/>
      <w:r w:rsidRPr="00F950FD">
        <w:rPr>
          <w:rFonts w:ascii="Arial" w:hAnsi="Arial" w:cs="Arial"/>
          <w:szCs w:val="24"/>
        </w:rPr>
        <w:t>consumer/parent/guardian</w:t>
      </w:r>
      <w:proofErr w:type="gramEnd"/>
      <w:r w:rsidRPr="00F950FD">
        <w:rPr>
          <w:rFonts w:ascii="Arial" w:hAnsi="Arial" w:cs="Arial"/>
          <w:szCs w:val="24"/>
        </w:rPr>
        <w:t xml:space="preserve"> has signed a clear written statement that they no longer with to receive services. </w:t>
      </w:r>
    </w:p>
    <w:p w:rsidR="004D2CAD" w:rsidRPr="00F950FD" w:rsidRDefault="004D2CAD" w:rsidP="004D2CAD">
      <w:pPr>
        <w:numPr>
          <w:ilvl w:val="3"/>
          <w:numId w:val="6"/>
        </w:numPr>
        <w:tabs>
          <w:tab w:val="left" w:pos="-1440"/>
        </w:tabs>
        <w:jc w:val="both"/>
        <w:rPr>
          <w:rFonts w:ascii="Arial" w:hAnsi="Arial" w:cs="Arial"/>
          <w:b/>
          <w:szCs w:val="24"/>
        </w:rPr>
      </w:pPr>
      <w:proofErr w:type="gramStart"/>
      <w:r w:rsidRPr="00F950FD">
        <w:rPr>
          <w:rFonts w:ascii="Arial" w:hAnsi="Arial" w:cs="Arial"/>
          <w:szCs w:val="24"/>
        </w:rPr>
        <w:t>consumer’s</w:t>
      </w:r>
      <w:proofErr w:type="gramEnd"/>
      <w:r w:rsidRPr="00F950FD">
        <w:rPr>
          <w:rFonts w:ascii="Arial" w:hAnsi="Arial" w:cs="Arial"/>
          <w:szCs w:val="24"/>
        </w:rPr>
        <w:t xml:space="preserve"> whereabouts are unknown and the post office returns ICCMH mail directed to the consumer &amp; indicates no forwarding address. </w:t>
      </w:r>
    </w:p>
    <w:p w:rsidR="004D2CAD" w:rsidRPr="00F950FD" w:rsidRDefault="004D2CAD" w:rsidP="004D2CAD">
      <w:pPr>
        <w:numPr>
          <w:ilvl w:val="3"/>
          <w:numId w:val="6"/>
        </w:numPr>
        <w:tabs>
          <w:tab w:val="left" w:pos="-1440"/>
        </w:tabs>
        <w:jc w:val="both"/>
        <w:rPr>
          <w:rFonts w:ascii="Arial" w:hAnsi="Arial" w:cs="Arial"/>
          <w:b/>
          <w:szCs w:val="24"/>
        </w:rPr>
      </w:pPr>
      <w:proofErr w:type="gramStart"/>
      <w:r w:rsidRPr="00F950FD">
        <w:rPr>
          <w:rFonts w:ascii="Arial" w:hAnsi="Arial" w:cs="Arial"/>
          <w:szCs w:val="24"/>
        </w:rPr>
        <w:t>consumer</w:t>
      </w:r>
      <w:proofErr w:type="gramEnd"/>
      <w:r w:rsidRPr="00F950FD">
        <w:rPr>
          <w:rFonts w:ascii="Arial" w:hAnsi="Arial" w:cs="Arial"/>
          <w:szCs w:val="24"/>
        </w:rPr>
        <w:t xml:space="preserve"> has been accepted for services by another CMH. </w:t>
      </w:r>
    </w:p>
    <w:p w:rsidR="004D2CAD" w:rsidRPr="00F950FD" w:rsidRDefault="004D2CAD" w:rsidP="004D2CAD">
      <w:pPr>
        <w:numPr>
          <w:ilvl w:val="2"/>
          <w:numId w:val="6"/>
        </w:numPr>
        <w:tabs>
          <w:tab w:val="left" w:pos="-1440"/>
        </w:tabs>
        <w:jc w:val="both"/>
        <w:rPr>
          <w:rFonts w:ascii="Arial" w:hAnsi="Arial" w:cs="Arial"/>
          <w:b/>
          <w:szCs w:val="24"/>
        </w:rPr>
      </w:pPr>
      <w:r w:rsidRPr="00F950FD">
        <w:rPr>
          <w:rFonts w:ascii="Arial" w:hAnsi="Arial" w:cs="Arial"/>
          <w:szCs w:val="24"/>
        </w:rPr>
        <w:t xml:space="preserve">In any of the above cases where an advance notice will </w:t>
      </w:r>
      <w:r w:rsidRPr="00F950FD">
        <w:rPr>
          <w:rFonts w:ascii="Arial" w:hAnsi="Arial" w:cs="Arial"/>
          <w:b/>
          <w:bCs/>
          <w:szCs w:val="24"/>
        </w:rPr>
        <w:t xml:space="preserve">NOT </w:t>
      </w:r>
      <w:r w:rsidRPr="00F950FD">
        <w:rPr>
          <w:rFonts w:ascii="Arial" w:hAnsi="Arial" w:cs="Arial"/>
          <w:szCs w:val="24"/>
        </w:rPr>
        <w:t>be sent, the supervisor will notify Medical Records by noting it on the termination “request” form, and will include the reason why a notice is not needed (noting one of the 4 reasons above).</w:t>
      </w:r>
    </w:p>
    <w:p w:rsidR="004D2CAD" w:rsidRPr="00F950FD" w:rsidRDefault="004D2CAD" w:rsidP="004D2CAD">
      <w:pPr>
        <w:tabs>
          <w:tab w:val="left" w:pos="-1440"/>
        </w:tabs>
        <w:ind w:left="2880"/>
        <w:jc w:val="both"/>
        <w:rPr>
          <w:rFonts w:ascii="Arial" w:hAnsi="Arial" w:cs="Arial"/>
          <w:b/>
          <w:szCs w:val="24"/>
        </w:rPr>
      </w:pPr>
    </w:p>
    <w:p w:rsidR="00B4524D" w:rsidRPr="00F950FD" w:rsidRDefault="00B4524D" w:rsidP="00580B0E">
      <w:pPr>
        <w:numPr>
          <w:ilvl w:val="0"/>
          <w:numId w:val="14"/>
        </w:numPr>
        <w:tabs>
          <w:tab w:val="left" w:pos="-1440"/>
        </w:tabs>
        <w:ind w:left="720"/>
        <w:jc w:val="both"/>
        <w:rPr>
          <w:rFonts w:ascii="Arial" w:hAnsi="Arial" w:cs="Arial"/>
          <w:b/>
          <w:szCs w:val="24"/>
        </w:rPr>
      </w:pPr>
      <w:r w:rsidRPr="00F950FD">
        <w:rPr>
          <w:rFonts w:ascii="Arial" w:hAnsi="Arial" w:cs="Arial"/>
          <w:b/>
          <w:szCs w:val="24"/>
        </w:rPr>
        <w:lastRenderedPageBreak/>
        <w:t xml:space="preserve">Update </w:t>
      </w:r>
      <w:r w:rsidR="00FA5611" w:rsidRPr="00F950FD">
        <w:rPr>
          <w:rFonts w:ascii="Arial" w:hAnsi="Arial" w:cs="Arial"/>
          <w:b/>
          <w:szCs w:val="24"/>
        </w:rPr>
        <w:t>Consumer</w:t>
      </w:r>
      <w:r w:rsidRPr="00F950FD">
        <w:rPr>
          <w:rFonts w:ascii="Arial" w:hAnsi="Arial" w:cs="Arial"/>
          <w:b/>
          <w:szCs w:val="24"/>
        </w:rPr>
        <w:t xml:space="preserve"> Status</w:t>
      </w:r>
    </w:p>
    <w:p w:rsidR="00B4524D" w:rsidRPr="00F950FD" w:rsidRDefault="00B4524D">
      <w:pPr>
        <w:tabs>
          <w:tab w:val="left" w:pos="-1440"/>
        </w:tabs>
        <w:jc w:val="both"/>
        <w:rPr>
          <w:rFonts w:ascii="Arial" w:hAnsi="Arial" w:cs="Arial"/>
          <w:b/>
          <w:szCs w:val="24"/>
        </w:rPr>
      </w:pPr>
    </w:p>
    <w:p w:rsidR="00F22D61" w:rsidRPr="00F950FD" w:rsidRDefault="00B4524D">
      <w:pPr>
        <w:jc w:val="both"/>
        <w:rPr>
          <w:rFonts w:ascii="Arial" w:hAnsi="Arial" w:cs="Arial"/>
          <w:szCs w:val="24"/>
        </w:rPr>
      </w:pPr>
      <w:r w:rsidRPr="00F950FD">
        <w:rPr>
          <w:rFonts w:ascii="Arial" w:hAnsi="Arial" w:cs="Arial"/>
          <w:szCs w:val="24"/>
        </w:rPr>
        <w:t xml:space="preserve">Each </w:t>
      </w:r>
      <w:r w:rsidR="007127FD" w:rsidRPr="00F950FD">
        <w:rPr>
          <w:rFonts w:ascii="Arial" w:hAnsi="Arial" w:cs="Arial"/>
          <w:szCs w:val="24"/>
        </w:rPr>
        <w:t>worker</w:t>
      </w:r>
      <w:r w:rsidR="00F22D61" w:rsidRPr="00F950FD">
        <w:rPr>
          <w:rFonts w:ascii="Arial" w:hAnsi="Arial" w:cs="Arial"/>
          <w:szCs w:val="24"/>
        </w:rPr>
        <w:t xml:space="preserve"> </w:t>
      </w:r>
      <w:r w:rsidR="00FA5611" w:rsidRPr="00F950FD">
        <w:rPr>
          <w:rFonts w:ascii="Arial" w:hAnsi="Arial" w:cs="Arial"/>
          <w:szCs w:val="24"/>
        </w:rPr>
        <w:t>shall</w:t>
      </w:r>
      <w:r w:rsidRPr="00F950FD">
        <w:rPr>
          <w:rFonts w:ascii="Arial" w:hAnsi="Arial" w:cs="Arial"/>
          <w:szCs w:val="24"/>
        </w:rPr>
        <w:t xml:space="preserve"> ensure that changes in </w:t>
      </w:r>
      <w:r w:rsidR="00FA5611" w:rsidRPr="00F950FD">
        <w:rPr>
          <w:rFonts w:ascii="Arial" w:hAnsi="Arial" w:cs="Arial"/>
          <w:szCs w:val="24"/>
        </w:rPr>
        <w:t>consumer</w:t>
      </w:r>
      <w:r w:rsidRPr="00F950FD">
        <w:rPr>
          <w:rFonts w:ascii="Arial" w:hAnsi="Arial" w:cs="Arial"/>
          <w:szCs w:val="24"/>
        </w:rPr>
        <w:t xml:space="preserve"> demographic information or program services are kept </w:t>
      </w:r>
      <w:r w:rsidR="00FB7580" w:rsidRPr="00F950FD">
        <w:rPr>
          <w:rFonts w:ascii="Arial" w:hAnsi="Arial" w:cs="Arial"/>
          <w:szCs w:val="24"/>
        </w:rPr>
        <w:t>current in the clinical record.</w:t>
      </w:r>
    </w:p>
    <w:tbl>
      <w:tblPr>
        <w:tblpPr w:leftFromText="180" w:rightFromText="180" w:vertAnchor="text" w:horzAnchor="margin" w:tblpY="2932"/>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7128"/>
        <w:gridCol w:w="810"/>
        <w:gridCol w:w="810"/>
        <w:gridCol w:w="720"/>
      </w:tblGrid>
      <w:tr w:rsidR="009E7808" w:rsidRPr="00F950FD" w:rsidTr="009E7808">
        <w:trPr>
          <w:cantSplit/>
        </w:trPr>
        <w:tc>
          <w:tcPr>
            <w:tcW w:w="7128" w:type="dxa"/>
          </w:tcPr>
          <w:p w:rsidR="009E7808" w:rsidRPr="00F950FD" w:rsidRDefault="009E7808" w:rsidP="009E7808">
            <w:pPr>
              <w:pStyle w:val="Header"/>
              <w:tabs>
                <w:tab w:val="clear" w:pos="4320"/>
                <w:tab w:val="clear" w:pos="8640"/>
              </w:tabs>
              <w:rPr>
                <w:rFonts w:ascii="Arial" w:hAnsi="Arial" w:cs="Arial"/>
                <w:szCs w:val="24"/>
              </w:rPr>
            </w:pPr>
          </w:p>
          <w:p w:rsidR="009E7808" w:rsidRPr="00F950FD" w:rsidRDefault="009E7808" w:rsidP="009E7808">
            <w:pPr>
              <w:pStyle w:val="Header"/>
              <w:tabs>
                <w:tab w:val="clear" w:pos="4320"/>
                <w:tab w:val="clear" w:pos="8640"/>
              </w:tabs>
              <w:rPr>
                <w:rFonts w:ascii="Arial" w:hAnsi="Arial" w:cs="Arial"/>
                <w:szCs w:val="24"/>
              </w:rPr>
            </w:pPr>
          </w:p>
        </w:tc>
        <w:tc>
          <w:tcPr>
            <w:tcW w:w="810" w:type="dxa"/>
          </w:tcPr>
          <w:p w:rsidR="009E7808" w:rsidRPr="00F950FD" w:rsidRDefault="009E7808" w:rsidP="009E7808">
            <w:pPr>
              <w:rPr>
                <w:rFonts w:ascii="Arial" w:hAnsi="Arial" w:cs="Arial"/>
                <w:szCs w:val="24"/>
              </w:rPr>
            </w:pPr>
          </w:p>
        </w:tc>
        <w:tc>
          <w:tcPr>
            <w:tcW w:w="810" w:type="dxa"/>
          </w:tcPr>
          <w:p w:rsidR="009E7808" w:rsidRPr="00F950FD" w:rsidRDefault="009E7808" w:rsidP="009E7808">
            <w:pPr>
              <w:rPr>
                <w:rFonts w:ascii="Arial" w:hAnsi="Arial" w:cs="Arial"/>
                <w:szCs w:val="24"/>
              </w:rPr>
            </w:pPr>
          </w:p>
        </w:tc>
        <w:tc>
          <w:tcPr>
            <w:tcW w:w="720" w:type="dxa"/>
          </w:tcPr>
          <w:p w:rsidR="009E7808" w:rsidRPr="00F950FD" w:rsidRDefault="009E7808" w:rsidP="009E7808">
            <w:pPr>
              <w:rPr>
                <w:rFonts w:ascii="Arial" w:hAnsi="Arial" w:cs="Arial"/>
                <w:szCs w:val="24"/>
              </w:rPr>
            </w:pPr>
          </w:p>
        </w:tc>
      </w:tr>
      <w:tr w:rsidR="009E7808" w:rsidRPr="00F950FD" w:rsidTr="009E7808">
        <w:tc>
          <w:tcPr>
            <w:tcW w:w="7128" w:type="dxa"/>
          </w:tcPr>
          <w:p w:rsidR="009E7808" w:rsidRPr="00F950FD" w:rsidRDefault="009E7808" w:rsidP="009E7808">
            <w:pPr>
              <w:pStyle w:val="Header"/>
              <w:tabs>
                <w:tab w:val="clear" w:pos="4320"/>
                <w:tab w:val="clear" w:pos="8640"/>
              </w:tabs>
              <w:rPr>
                <w:rFonts w:ascii="Arial" w:hAnsi="Arial" w:cs="Arial"/>
                <w:szCs w:val="24"/>
              </w:rPr>
            </w:pPr>
            <w:r w:rsidRPr="00F950FD">
              <w:rPr>
                <w:rFonts w:ascii="Arial" w:hAnsi="Arial" w:cs="Arial"/>
                <w:szCs w:val="24"/>
              </w:rPr>
              <w:t>Robert S. Lathers, Chief Executive Officer</w:t>
            </w:r>
          </w:p>
        </w:tc>
        <w:tc>
          <w:tcPr>
            <w:tcW w:w="2340" w:type="dxa"/>
            <w:gridSpan w:val="3"/>
          </w:tcPr>
          <w:p w:rsidR="009E7808" w:rsidRPr="00F950FD" w:rsidRDefault="009E7808" w:rsidP="009E7808">
            <w:pPr>
              <w:jc w:val="center"/>
              <w:rPr>
                <w:rFonts w:ascii="Arial" w:hAnsi="Arial" w:cs="Arial"/>
                <w:szCs w:val="24"/>
              </w:rPr>
            </w:pPr>
            <w:r w:rsidRPr="00F950FD">
              <w:rPr>
                <w:rFonts w:ascii="Arial" w:hAnsi="Arial" w:cs="Arial"/>
                <w:szCs w:val="24"/>
              </w:rPr>
              <w:t>Date</w:t>
            </w:r>
          </w:p>
        </w:tc>
      </w:tr>
    </w:tbl>
    <w:p w:rsidR="00B4524D" w:rsidRPr="00F950FD" w:rsidRDefault="00B4524D">
      <w:pPr>
        <w:pStyle w:val="Header"/>
        <w:tabs>
          <w:tab w:val="clear" w:pos="4320"/>
          <w:tab w:val="clear" w:pos="8640"/>
        </w:tabs>
        <w:rPr>
          <w:rFonts w:ascii="Arial" w:hAnsi="Arial" w:cs="Arial"/>
          <w:szCs w:val="24"/>
        </w:rPr>
      </w:pPr>
    </w:p>
    <w:sectPr w:rsidR="00B4524D" w:rsidRPr="00F950FD" w:rsidSect="00F950FD">
      <w:headerReference w:type="default" r:id="rId7"/>
      <w:pgSz w:w="12240" w:h="15840"/>
      <w:pgMar w:top="1440" w:right="1440" w:bottom="1350" w:left="1440" w:header="1152" w:footer="115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EFA" w:rsidRDefault="00C73EFA">
      <w:r>
        <w:separator/>
      </w:r>
    </w:p>
  </w:endnote>
  <w:endnote w:type="continuationSeparator" w:id="0">
    <w:p w:rsidR="00C73EFA" w:rsidRDefault="00C73E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EFA" w:rsidRDefault="00C73EFA">
      <w:r>
        <w:separator/>
      </w:r>
    </w:p>
  </w:footnote>
  <w:footnote w:type="continuationSeparator" w:id="0">
    <w:p w:rsidR="00C73EFA" w:rsidRDefault="00C73E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B0E" w:rsidRDefault="00580B0E">
    <w:pPr>
      <w:pStyle w:val="Header"/>
      <w:jc w:val="center"/>
    </w:pPr>
    <w:smartTag w:uri="urn:schemas-microsoft-com:office:smarttags" w:element="place">
      <w:smartTag w:uri="urn:schemas-microsoft-com:office:smarttags" w:element="PlaceName">
        <w:r>
          <w:t>Ionia</w:t>
        </w:r>
      </w:smartTag>
      <w:r>
        <w:t xml:space="preserve"> </w:t>
      </w:r>
      <w:smartTag w:uri="urn:schemas-microsoft-com:office:smarttags" w:element="PlaceType">
        <w:r>
          <w:t>County</w:t>
        </w:r>
      </w:smartTag>
    </w:smartTag>
    <w:r>
      <w:t xml:space="preserve"> Community Mental Health</w:t>
    </w:r>
  </w:p>
  <w:p w:rsidR="00580B0E" w:rsidRDefault="00580B0E">
    <w:pPr>
      <w:pStyle w:val="Header"/>
      <w:jc w:val="center"/>
    </w:pPr>
  </w:p>
  <w:tbl>
    <w:tblPr>
      <w:tblW w:w="10093" w:type="dxa"/>
      <w:tblInd w:w="-1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6030"/>
      <w:gridCol w:w="1320"/>
      <w:gridCol w:w="1320"/>
      <w:gridCol w:w="1423"/>
    </w:tblGrid>
    <w:tr w:rsidR="00580B0E" w:rsidTr="00A92CB0">
      <w:trPr>
        <w:trHeight w:val="1221"/>
      </w:trPr>
      <w:tc>
        <w:tcPr>
          <w:tcW w:w="6030" w:type="dxa"/>
          <w:tcBorders>
            <w:top w:val="double" w:sz="4" w:space="0" w:color="auto"/>
            <w:bottom w:val="double" w:sz="4" w:space="0" w:color="auto"/>
          </w:tcBorders>
        </w:tcPr>
        <w:p w:rsidR="00580B0E" w:rsidRDefault="00580B0E">
          <w:pPr>
            <w:pStyle w:val="Header"/>
            <w:rPr>
              <w:sz w:val="28"/>
            </w:rPr>
          </w:pPr>
          <w:r>
            <w:t>Chapter Title</w:t>
          </w:r>
        </w:p>
        <w:p w:rsidR="00580B0E" w:rsidRDefault="00580B0E">
          <w:pPr>
            <w:pStyle w:val="Header"/>
            <w:rPr>
              <w:sz w:val="20"/>
            </w:rPr>
          </w:pPr>
        </w:p>
        <w:p w:rsidR="00580B0E" w:rsidRDefault="00580B0E" w:rsidP="00A92CB0">
          <w:pPr>
            <w:pStyle w:val="Header"/>
            <w:rPr>
              <w:sz w:val="28"/>
            </w:rPr>
          </w:pPr>
          <w:r>
            <w:rPr>
              <w:sz w:val="28"/>
            </w:rPr>
            <w:t>Clinical</w:t>
          </w:r>
        </w:p>
      </w:tc>
      <w:tc>
        <w:tcPr>
          <w:tcW w:w="2640" w:type="dxa"/>
          <w:gridSpan w:val="2"/>
          <w:tcBorders>
            <w:top w:val="double" w:sz="4" w:space="0" w:color="auto"/>
            <w:bottom w:val="double" w:sz="4" w:space="0" w:color="auto"/>
          </w:tcBorders>
        </w:tcPr>
        <w:p w:rsidR="00580B0E" w:rsidRDefault="00580B0E">
          <w:pPr>
            <w:pStyle w:val="Header"/>
            <w:jc w:val="center"/>
            <w:rPr>
              <w:lang w:val="fr-FR"/>
            </w:rPr>
          </w:pPr>
          <w:r>
            <w:rPr>
              <w:lang w:val="fr-FR"/>
            </w:rPr>
            <w:t>Chapter #</w:t>
          </w:r>
        </w:p>
        <w:p w:rsidR="00580B0E" w:rsidRDefault="00580B0E">
          <w:pPr>
            <w:pStyle w:val="Header"/>
            <w:jc w:val="center"/>
            <w:rPr>
              <w:sz w:val="20"/>
              <w:lang w:val="fr-FR"/>
            </w:rPr>
          </w:pPr>
        </w:p>
        <w:p w:rsidR="00580B0E" w:rsidRDefault="00580B0E" w:rsidP="00A92CB0">
          <w:pPr>
            <w:pStyle w:val="Header"/>
            <w:jc w:val="center"/>
            <w:rPr>
              <w:sz w:val="20"/>
            </w:rPr>
          </w:pPr>
          <w:r>
            <w:rPr>
              <w:sz w:val="28"/>
              <w:lang w:val="fr-FR"/>
            </w:rPr>
            <w:t>C</w:t>
          </w:r>
        </w:p>
      </w:tc>
      <w:tc>
        <w:tcPr>
          <w:tcW w:w="1423" w:type="dxa"/>
          <w:tcBorders>
            <w:top w:val="double" w:sz="4" w:space="0" w:color="auto"/>
            <w:bottom w:val="double" w:sz="4" w:space="0" w:color="auto"/>
          </w:tcBorders>
        </w:tcPr>
        <w:p w:rsidR="00580B0E" w:rsidRDefault="00580B0E">
          <w:pPr>
            <w:pStyle w:val="Header"/>
            <w:jc w:val="center"/>
          </w:pPr>
          <w:r>
            <w:t>Subject #</w:t>
          </w:r>
        </w:p>
        <w:p w:rsidR="00580B0E" w:rsidRDefault="00580B0E">
          <w:pPr>
            <w:pStyle w:val="Header"/>
            <w:jc w:val="center"/>
            <w:rPr>
              <w:sz w:val="20"/>
            </w:rPr>
          </w:pPr>
        </w:p>
        <w:p w:rsidR="00580B0E" w:rsidRDefault="00580B0E" w:rsidP="00A92CB0">
          <w:pPr>
            <w:pStyle w:val="Header"/>
            <w:jc w:val="center"/>
            <w:rPr>
              <w:sz w:val="28"/>
            </w:rPr>
          </w:pPr>
          <w:r>
            <w:rPr>
              <w:sz w:val="28"/>
            </w:rPr>
            <w:t>340.1</w:t>
          </w:r>
        </w:p>
      </w:tc>
    </w:tr>
    <w:tr w:rsidR="00580B0E">
      <w:trPr>
        <w:cantSplit/>
        <w:trHeight w:val="1369"/>
      </w:trPr>
      <w:tc>
        <w:tcPr>
          <w:tcW w:w="6030" w:type="dxa"/>
          <w:tcBorders>
            <w:top w:val="double" w:sz="4" w:space="0" w:color="auto"/>
            <w:bottom w:val="double" w:sz="4" w:space="0" w:color="auto"/>
          </w:tcBorders>
        </w:tcPr>
        <w:p w:rsidR="00580B0E" w:rsidRDefault="00580B0E">
          <w:pPr>
            <w:pStyle w:val="Header"/>
          </w:pPr>
          <w:r>
            <w:t>Subject Title</w:t>
          </w:r>
        </w:p>
        <w:p w:rsidR="00580B0E" w:rsidRDefault="00580B0E">
          <w:pPr>
            <w:pStyle w:val="Header"/>
            <w:rPr>
              <w:b/>
              <w:sz w:val="20"/>
            </w:rPr>
          </w:pPr>
        </w:p>
        <w:p w:rsidR="00580B0E" w:rsidRPr="004832F8" w:rsidRDefault="00580B0E" w:rsidP="00B3511F">
          <w:pPr>
            <w:pStyle w:val="Header"/>
            <w:rPr>
              <w:szCs w:val="24"/>
            </w:rPr>
          </w:pPr>
          <w:r>
            <w:rPr>
              <w:b/>
              <w:sz w:val="28"/>
            </w:rPr>
            <w:t>Service Delivery</w:t>
          </w:r>
        </w:p>
      </w:tc>
      <w:tc>
        <w:tcPr>
          <w:tcW w:w="1320" w:type="dxa"/>
          <w:tcBorders>
            <w:top w:val="double" w:sz="4" w:space="0" w:color="auto"/>
            <w:bottom w:val="double" w:sz="4" w:space="0" w:color="auto"/>
          </w:tcBorders>
          <w:vAlign w:val="center"/>
        </w:tcPr>
        <w:p w:rsidR="00580B0E" w:rsidRPr="004832F8" w:rsidRDefault="00580B0E" w:rsidP="00A92CB0">
          <w:pPr>
            <w:pStyle w:val="Header"/>
            <w:jc w:val="center"/>
            <w:rPr>
              <w:sz w:val="20"/>
            </w:rPr>
          </w:pPr>
          <w:r>
            <w:rPr>
              <w:szCs w:val="24"/>
            </w:rPr>
            <w:t>Adopted</w:t>
          </w:r>
        </w:p>
        <w:p w:rsidR="00580B0E" w:rsidRDefault="00580B0E" w:rsidP="00B3511F">
          <w:pPr>
            <w:pStyle w:val="Header"/>
            <w:jc w:val="center"/>
          </w:pPr>
          <w:smartTag w:uri="urn:schemas-microsoft-com:office:smarttags" w:element="date">
            <w:smartTagPr>
              <w:attr w:name="Year" w:val="2003"/>
              <w:attr w:name="Day" w:val="2"/>
              <w:attr w:name="Month" w:val="6"/>
            </w:smartTagPr>
            <w:r>
              <w:rPr>
                <w:szCs w:val="24"/>
              </w:rPr>
              <w:t>06/02/03</w:t>
            </w:r>
          </w:smartTag>
        </w:p>
      </w:tc>
      <w:tc>
        <w:tcPr>
          <w:tcW w:w="1320" w:type="dxa"/>
          <w:tcBorders>
            <w:top w:val="double" w:sz="4" w:space="0" w:color="auto"/>
            <w:bottom w:val="double" w:sz="4" w:space="0" w:color="auto"/>
          </w:tcBorders>
          <w:vAlign w:val="center"/>
        </w:tcPr>
        <w:p w:rsidR="00580B0E" w:rsidRPr="004832F8" w:rsidRDefault="00580B0E" w:rsidP="00A92CB0">
          <w:pPr>
            <w:pStyle w:val="Header"/>
            <w:jc w:val="center"/>
            <w:rPr>
              <w:sz w:val="20"/>
            </w:rPr>
          </w:pPr>
          <w:r>
            <w:t>Last Revised</w:t>
          </w:r>
        </w:p>
        <w:p w:rsidR="00580B0E" w:rsidRDefault="00580B0E" w:rsidP="00B3511F">
          <w:pPr>
            <w:pStyle w:val="Header"/>
            <w:jc w:val="center"/>
          </w:pPr>
          <w:r>
            <w:t>2/13/14</w:t>
          </w:r>
        </w:p>
      </w:tc>
      <w:tc>
        <w:tcPr>
          <w:tcW w:w="1423" w:type="dxa"/>
          <w:tcBorders>
            <w:top w:val="double" w:sz="4" w:space="0" w:color="auto"/>
            <w:bottom w:val="double" w:sz="4" w:space="0" w:color="auto"/>
          </w:tcBorders>
          <w:vAlign w:val="center"/>
        </w:tcPr>
        <w:p w:rsidR="00580B0E" w:rsidRDefault="00580B0E" w:rsidP="00A92CB0">
          <w:pPr>
            <w:pStyle w:val="Header"/>
            <w:jc w:val="center"/>
            <w:rPr>
              <w:sz w:val="20"/>
            </w:rPr>
          </w:pPr>
          <w:r>
            <w:t>Last Reviewed</w:t>
          </w:r>
        </w:p>
        <w:p w:rsidR="00580B0E" w:rsidRDefault="00580B0E" w:rsidP="00B3511F">
          <w:pPr>
            <w:pStyle w:val="Header"/>
            <w:jc w:val="center"/>
          </w:pPr>
          <w:r>
            <w:t>09/05/06; 4/7/10;</w:t>
          </w:r>
        </w:p>
        <w:p w:rsidR="00580B0E" w:rsidRDefault="00580B0E" w:rsidP="00B3511F">
          <w:pPr>
            <w:pStyle w:val="Header"/>
            <w:jc w:val="center"/>
          </w:pPr>
          <w:r>
            <w:t>2/13/14</w:t>
          </w:r>
        </w:p>
      </w:tc>
    </w:tr>
  </w:tbl>
  <w:p w:rsidR="00580B0E" w:rsidRDefault="00580B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3DB2"/>
    <w:multiLevelType w:val="multilevel"/>
    <w:tmpl w:val="74D825E6"/>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3240"/>
        </w:tabs>
        <w:ind w:left="3240" w:hanging="108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5040"/>
        </w:tabs>
        <w:ind w:left="5040" w:hanging="1440"/>
      </w:pPr>
      <w:rPr>
        <w:rFonts w:hint="default"/>
        <w:u w:val="none"/>
      </w:rPr>
    </w:lvl>
    <w:lvl w:ilvl="6">
      <w:start w:val="1"/>
      <w:numFmt w:val="decimal"/>
      <w:lvlText w:val="%1.%2.%3.%4.%5.%6.%7"/>
      <w:lvlJc w:val="left"/>
      <w:pPr>
        <w:tabs>
          <w:tab w:val="num" w:pos="6120"/>
        </w:tabs>
        <w:ind w:left="6120" w:hanging="1800"/>
      </w:pPr>
      <w:rPr>
        <w:rFonts w:hint="default"/>
        <w:u w:val="none"/>
      </w:rPr>
    </w:lvl>
    <w:lvl w:ilvl="7">
      <w:start w:val="1"/>
      <w:numFmt w:val="decimal"/>
      <w:lvlText w:val="%1.%2.%3.%4.%5.%6.%7.%8"/>
      <w:lvlJc w:val="left"/>
      <w:pPr>
        <w:tabs>
          <w:tab w:val="num" w:pos="6840"/>
        </w:tabs>
        <w:ind w:left="6840" w:hanging="1800"/>
      </w:pPr>
      <w:rPr>
        <w:rFonts w:hint="default"/>
        <w:u w:val="none"/>
      </w:rPr>
    </w:lvl>
    <w:lvl w:ilvl="8">
      <w:start w:val="1"/>
      <w:numFmt w:val="decimal"/>
      <w:lvlText w:val="%1.%2.%3.%4.%5.%6.%7.%8.%9"/>
      <w:lvlJc w:val="left"/>
      <w:pPr>
        <w:tabs>
          <w:tab w:val="num" w:pos="7920"/>
        </w:tabs>
        <w:ind w:left="7920" w:hanging="2160"/>
      </w:pPr>
      <w:rPr>
        <w:rFonts w:hint="default"/>
        <w:u w:val="none"/>
      </w:rPr>
    </w:lvl>
  </w:abstractNum>
  <w:abstractNum w:abstractNumId="1">
    <w:nsid w:val="054B3560"/>
    <w:multiLevelType w:val="hybridMultilevel"/>
    <w:tmpl w:val="E384BB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8528AD"/>
    <w:multiLevelType w:val="multilevel"/>
    <w:tmpl w:val="4052162C"/>
    <w:lvl w:ilvl="0">
      <w:start w:val="6"/>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560"/>
        </w:tabs>
        <w:ind w:left="7560" w:hanging="1800"/>
      </w:pPr>
      <w:rPr>
        <w:rFonts w:hint="default"/>
      </w:rPr>
    </w:lvl>
    <w:lvl w:ilvl="8">
      <w:start w:val="1"/>
      <w:numFmt w:val="decimal"/>
      <w:lvlText w:val="%1.%2.%3.%4.%5.%6.%7.%8.%9"/>
      <w:lvlJc w:val="left"/>
      <w:pPr>
        <w:tabs>
          <w:tab w:val="num" w:pos="8280"/>
        </w:tabs>
        <w:ind w:left="8280" w:hanging="1800"/>
      </w:pPr>
      <w:rPr>
        <w:rFonts w:hint="default"/>
      </w:rPr>
    </w:lvl>
  </w:abstractNum>
  <w:abstractNum w:abstractNumId="3">
    <w:nsid w:val="26E37D83"/>
    <w:multiLevelType w:val="multilevel"/>
    <w:tmpl w:val="E222C27C"/>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6EC7021"/>
    <w:multiLevelType w:val="multilevel"/>
    <w:tmpl w:val="74D825E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nsid w:val="39C333C2"/>
    <w:multiLevelType w:val="singleLevel"/>
    <w:tmpl w:val="0409000F"/>
    <w:lvl w:ilvl="0">
      <w:start w:val="1"/>
      <w:numFmt w:val="decimal"/>
      <w:lvlText w:val="%1."/>
      <w:lvlJc w:val="left"/>
      <w:pPr>
        <w:tabs>
          <w:tab w:val="num" w:pos="360"/>
        </w:tabs>
        <w:ind w:left="360" w:hanging="360"/>
      </w:pPr>
    </w:lvl>
  </w:abstractNum>
  <w:abstractNum w:abstractNumId="6">
    <w:nsid w:val="3AA75E3F"/>
    <w:multiLevelType w:val="multilevel"/>
    <w:tmpl w:val="B2C6DCB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3F821F46"/>
    <w:multiLevelType w:val="multilevel"/>
    <w:tmpl w:val="F6140192"/>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8">
    <w:nsid w:val="45DC583D"/>
    <w:multiLevelType w:val="multilevel"/>
    <w:tmpl w:val="4052162C"/>
    <w:lvl w:ilvl="0">
      <w:start w:val="6"/>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560"/>
        </w:tabs>
        <w:ind w:left="7560" w:hanging="1800"/>
      </w:pPr>
      <w:rPr>
        <w:rFonts w:hint="default"/>
      </w:rPr>
    </w:lvl>
    <w:lvl w:ilvl="8">
      <w:start w:val="1"/>
      <w:numFmt w:val="decimal"/>
      <w:lvlText w:val="%1.%2.%3.%4.%5.%6.%7.%8.%9"/>
      <w:lvlJc w:val="left"/>
      <w:pPr>
        <w:tabs>
          <w:tab w:val="num" w:pos="8280"/>
        </w:tabs>
        <w:ind w:left="8280" w:hanging="1800"/>
      </w:pPr>
      <w:rPr>
        <w:rFonts w:hint="default"/>
      </w:rPr>
    </w:lvl>
  </w:abstractNum>
  <w:abstractNum w:abstractNumId="9">
    <w:nsid w:val="4683503E"/>
    <w:multiLevelType w:val="hybridMultilevel"/>
    <w:tmpl w:val="0720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202D7A"/>
    <w:multiLevelType w:val="hybridMultilevel"/>
    <w:tmpl w:val="E1BEF4CE"/>
    <w:lvl w:ilvl="0" w:tplc="FD5A26B8">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5BB2EEA"/>
    <w:multiLevelType w:val="multilevel"/>
    <w:tmpl w:val="07B87F9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12">
    <w:nsid w:val="587370A9"/>
    <w:multiLevelType w:val="hybridMultilevel"/>
    <w:tmpl w:val="0F661404"/>
    <w:lvl w:ilvl="0" w:tplc="4D7CE846">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C752D6"/>
    <w:multiLevelType w:val="multilevel"/>
    <w:tmpl w:val="4544928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5"/>
  </w:num>
  <w:num w:numId="3">
    <w:abstractNumId w:val="11"/>
  </w:num>
  <w:num w:numId="4">
    <w:abstractNumId w:val="4"/>
  </w:num>
  <w:num w:numId="5">
    <w:abstractNumId w:val="0"/>
  </w:num>
  <w:num w:numId="6">
    <w:abstractNumId w:val="2"/>
  </w:num>
  <w:num w:numId="7">
    <w:abstractNumId w:val="13"/>
  </w:num>
  <w:num w:numId="8">
    <w:abstractNumId w:val="12"/>
  </w:num>
  <w:num w:numId="9">
    <w:abstractNumId w:val="10"/>
  </w:num>
  <w:num w:numId="10">
    <w:abstractNumId w:val="1"/>
  </w:num>
  <w:num w:numId="11">
    <w:abstractNumId w:val="3"/>
  </w:num>
  <w:num w:numId="12">
    <w:abstractNumId w:val="9"/>
  </w:num>
  <w:num w:numId="13">
    <w:abstractNumId w:val="7"/>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spelling="clean" w:grammar="clean"/>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0346D"/>
    <w:rsid w:val="000E328D"/>
    <w:rsid w:val="002001FB"/>
    <w:rsid w:val="00221B82"/>
    <w:rsid w:val="002275EF"/>
    <w:rsid w:val="00241BE8"/>
    <w:rsid w:val="00271D5A"/>
    <w:rsid w:val="00292968"/>
    <w:rsid w:val="002A52EA"/>
    <w:rsid w:val="002B64DA"/>
    <w:rsid w:val="00354353"/>
    <w:rsid w:val="003A0975"/>
    <w:rsid w:val="004832F8"/>
    <w:rsid w:val="00485378"/>
    <w:rsid w:val="00487C5F"/>
    <w:rsid w:val="004D2CAD"/>
    <w:rsid w:val="00534538"/>
    <w:rsid w:val="00543E09"/>
    <w:rsid w:val="005609E1"/>
    <w:rsid w:val="00571682"/>
    <w:rsid w:val="00580B0E"/>
    <w:rsid w:val="005A0FDA"/>
    <w:rsid w:val="005A18F9"/>
    <w:rsid w:val="005B6422"/>
    <w:rsid w:val="00603161"/>
    <w:rsid w:val="00633261"/>
    <w:rsid w:val="00676CDC"/>
    <w:rsid w:val="0068256E"/>
    <w:rsid w:val="007127FD"/>
    <w:rsid w:val="00734DF4"/>
    <w:rsid w:val="007C23BE"/>
    <w:rsid w:val="00811537"/>
    <w:rsid w:val="00842FB8"/>
    <w:rsid w:val="008A1F6B"/>
    <w:rsid w:val="009458C0"/>
    <w:rsid w:val="00975850"/>
    <w:rsid w:val="009E7808"/>
    <w:rsid w:val="009F175E"/>
    <w:rsid w:val="00A2762F"/>
    <w:rsid w:val="00A92CB0"/>
    <w:rsid w:val="00B0346D"/>
    <w:rsid w:val="00B3511F"/>
    <w:rsid w:val="00B4524D"/>
    <w:rsid w:val="00C25CBD"/>
    <w:rsid w:val="00C32E67"/>
    <w:rsid w:val="00C73EFA"/>
    <w:rsid w:val="00CA3219"/>
    <w:rsid w:val="00DD53EE"/>
    <w:rsid w:val="00E513D4"/>
    <w:rsid w:val="00F2282E"/>
    <w:rsid w:val="00F22D61"/>
    <w:rsid w:val="00F75B20"/>
    <w:rsid w:val="00F84D93"/>
    <w:rsid w:val="00F950FD"/>
    <w:rsid w:val="00FA5611"/>
    <w:rsid w:val="00FB7580"/>
    <w:rsid w:val="00FC7B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F6B"/>
    <w:rPr>
      <w:sz w:val="24"/>
    </w:rPr>
  </w:style>
  <w:style w:type="paragraph" w:styleId="Heading1">
    <w:name w:val="heading 1"/>
    <w:basedOn w:val="Normal"/>
    <w:next w:val="Normal"/>
    <w:qFormat/>
    <w:rsid w:val="008A1F6B"/>
    <w:pPr>
      <w:keepNext/>
      <w:outlineLvl w:val="0"/>
    </w:pPr>
    <w:rPr>
      <w:rFonts w:ascii="Univers" w:hAnsi="Univers"/>
      <w:b/>
      <w:sz w:val="28"/>
    </w:rPr>
  </w:style>
  <w:style w:type="paragraph" w:styleId="Heading2">
    <w:name w:val="heading 2"/>
    <w:basedOn w:val="Normal"/>
    <w:next w:val="Normal"/>
    <w:qFormat/>
    <w:rsid w:val="008A1F6B"/>
    <w:pPr>
      <w:keepNext/>
      <w:outlineLvl w:val="1"/>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1F6B"/>
    <w:pPr>
      <w:tabs>
        <w:tab w:val="center" w:pos="4320"/>
        <w:tab w:val="right" w:pos="8640"/>
      </w:tabs>
    </w:pPr>
    <w:rPr>
      <w:rFonts w:ascii="Univers" w:hAnsi="Univers"/>
    </w:rPr>
  </w:style>
  <w:style w:type="character" w:styleId="PageNumber">
    <w:name w:val="page number"/>
    <w:basedOn w:val="DefaultParagraphFont"/>
    <w:rsid w:val="008A1F6B"/>
  </w:style>
  <w:style w:type="paragraph" w:styleId="Footer">
    <w:name w:val="footer"/>
    <w:basedOn w:val="Normal"/>
    <w:rsid w:val="008A1F6B"/>
    <w:pPr>
      <w:tabs>
        <w:tab w:val="center" w:pos="4320"/>
        <w:tab w:val="right" w:pos="8640"/>
      </w:tabs>
    </w:pPr>
  </w:style>
  <w:style w:type="paragraph" w:styleId="BodyTextIndent">
    <w:name w:val="Body Text Indent"/>
    <w:basedOn w:val="Normal"/>
    <w:rsid w:val="008A1F6B"/>
    <w:pPr>
      <w:tabs>
        <w:tab w:val="left" w:pos="-1440"/>
      </w:tabs>
      <w:ind w:left="2160" w:hanging="720"/>
      <w:jc w:val="both"/>
    </w:pPr>
    <w:rPr>
      <w:rFonts w:ascii="Arial" w:hAnsi="Arial"/>
    </w:rPr>
  </w:style>
  <w:style w:type="paragraph" w:styleId="BodyTextIndent2">
    <w:name w:val="Body Text Indent 2"/>
    <w:basedOn w:val="Normal"/>
    <w:rsid w:val="008A1F6B"/>
    <w:pPr>
      <w:tabs>
        <w:tab w:val="left" w:pos="-1440"/>
      </w:tabs>
      <w:ind w:left="1440" w:hanging="720"/>
      <w:jc w:val="both"/>
    </w:pPr>
    <w:rPr>
      <w:rFonts w:ascii="Arial" w:hAnsi="Arial"/>
    </w:rPr>
  </w:style>
  <w:style w:type="paragraph" w:styleId="BalloonText">
    <w:name w:val="Balloon Text"/>
    <w:basedOn w:val="Normal"/>
    <w:semiHidden/>
    <w:rsid w:val="008A1F6B"/>
    <w:rPr>
      <w:rFonts w:ascii="Tahoma" w:hAnsi="Tahoma" w:cs="Tahoma"/>
      <w:sz w:val="16"/>
      <w:szCs w:val="16"/>
    </w:rPr>
  </w:style>
  <w:style w:type="paragraph" w:styleId="ListParagraph">
    <w:name w:val="List Paragraph"/>
    <w:basedOn w:val="Normal"/>
    <w:uiPriority w:val="34"/>
    <w:qFormat/>
    <w:rsid w:val="00485378"/>
    <w:pPr>
      <w:ind w:left="720"/>
      <w:contextualSpacing/>
    </w:pPr>
    <w:rPr>
      <w:rFonts w:asciiTheme="minorHAnsi" w:eastAsiaTheme="minorHAnsi" w:hAnsiTheme="minorHAnsi" w:cstheme="minorBidi"/>
      <w:sz w:val="22"/>
      <w:szCs w:val="22"/>
    </w:rPr>
  </w:style>
  <w:style w:type="paragraph" w:customStyle="1" w:styleId="Default">
    <w:name w:val="Default"/>
    <w:rsid w:val="00580B0E"/>
    <w:pPr>
      <w:autoSpaceDE w:val="0"/>
      <w:autoSpaceDN w:val="0"/>
      <w:adjustRightInd w:val="0"/>
    </w:pPr>
    <w:rPr>
      <w:rFonts w:ascii="Californian FB" w:hAnsi="Californian FB" w:cs="Californian FB"/>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1584</Words>
  <Characters>9140</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POLICY</vt:lpstr>
    </vt:vector>
  </TitlesOfParts>
  <Company>CMHSIC</Company>
  <LinksUpToDate>false</LinksUpToDate>
  <CharactersWithSpaces>10703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creator>CMHSIC</dc:creator>
  <cp:lastModifiedBy>awojcik</cp:lastModifiedBy>
  <cp:revision>2</cp:revision>
  <cp:lastPrinted>2014-03-03T19:54:00Z</cp:lastPrinted>
  <dcterms:created xsi:type="dcterms:W3CDTF">2014-03-03T19:54:00Z</dcterms:created>
  <dcterms:modified xsi:type="dcterms:W3CDTF">2014-03-03T19:54:00Z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1392173840</vt:i4>
  </property>
  <property fmtid="{D5CDD505-2E9C-101B-9397-08002B2CF9AE}" pid="3" name="_EmailSubject">
    <vt:lpwstr>III-003-001-01 Service Delivery(REVISED)</vt:lpwstr>
  </property>
  <property fmtid="{D5CDD505-2E9C-101B-9397-08002B2CF9AE}" pid="4" name="_AuthorEmail">
    <vt:lpwstr>kbrown@ioniacmhs.org</vt:lpwstr>
  </property>
  <property fmtid="{D5CDD505-2E9C-101B-9397-08002B2CF9AE}" pid="5" name="_AuthorEmailDisplayName">
    <vt:lpwstr>Brown, Kim</vt:lpwstr>
  </property>
  <property fmtid="{D5CDD505-2E9C-101B-9397-08002B2CF9AE}" pid="6" name="_ReviewingToolsShownOnce">
    <vt:lpwstr/>
  </property>
</Properties>
</file>