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D3A" w:rsidRPr="00842875" w:rsidRDefault="00B74D3A" w:rsidP="00B74D3A">
      <w:pPr>
        <w:pStyle w:val="Heading1"/>
        <w:rPr>
          <w:rFonts w:ascii="Arial" w:hAnsi="Arial" w:cs="Arial"/>
          <w:b/>
        </w:rPr>
      </w:pPr>
      <w:bookmarkStart w:id="0" w:name="_GoBack"/>
      <w:bookmarkEnd w:id="0"/>
      <w:r w:rsidRPr="00842875">
        <w:rPr>
          <w:rFonts w:ascii="Arial" w:hAnsi="Arial" w:cs="Arial"/>
          <w:b/>
        </w:rPr>
        <w:t>PROCEDURE</w:t>
      </w:r>
    </w:p>
    <w:p w:rsidR="00B74D3A" w:rsidRDefault="00B74D3A" w:rsidP="00B74D3A">
      <w:pPr>
        <w:pStyle w:val="Heading1"/>
      </w:pPr>
    </w:p>
    <w:p w:rsidR="00B74D3A" w:rsidRDefault="00B74D3A" w:rsidP="00B74D3A">
      <w:pPr>
        <w:pStyle w:val="Heading2"/>
      </w:pPr>
      <w:r>
        <w:t>Application</w:t>
      </w:r>
    </w:p>
    <w:p w:rsidR="00B74D3A" w:rsidRDefault="00B74D3A" w:rsidP="00B74D3A">
      <w:pPr>
        <w:rPr>
          <w:rFonts w:ascii="Univers" w:hAnsi="Univers"/>
          <w:b/>
        </w:rPr>
      </w:pPr>
    </w:p>
    <w:p w:rsidR="00B74D3A" w:rsidRDefault="00B74D3A" w:rsidP="00B74D3A">
      <w:pPr>
        <w:pStyle w:val="Header"/>
        <w:tabs>
          <w:tab w:val="clear" w:pos="4320"/>
          <w:tab w:val="clear" w:pos="8640"/>
        </w:tabs>
        <w:rPr>
          <w:rFonts w:ascii="Arial" w:hAnsi="Arial"/>
        </w:rPr>
      </w:pPr>
      <w:r>
        <w:rPr>
          <w:rFonts w:ascii="Arial" w:hAnsi="Arial"/>
        </w:rPr>
        <w:t xml:space="preserve">This procedure shall apply to all employees of Ionia County Community Mental Health </w:t>
      </w:r>
      <w:r w:rsidR="00D1575B">
        <w:rPr>
          <w:rFonts w:ascii="Arial" w:hAnsi="Arial"/>
        </w:rPr>
        <w:t xml:space="preserve">Authority </w:t>
      </w:r>
      <w:r>
        <w:rPr>
          <w:rFonts w:ascii="Arial" w:hAnsi="Arial"/>
        </w:rPr>
        <w:t>(</w:t>
      </w:r>
      <w:r w:rsidR="00D1575B">
        <w:rPr>
          <w:rFonts w:ascii="Arial" w:hAnsi="Arial"/>
        </w:rPr>
        <w:t>ICCMHA</w:t>
      </w:r>
      <w:r>
        <w:rPr>
          <w:rFonts w:ascii="Arial" w:hAnsi="Arial"/>
        </w:rPr>
        <w:t>).</w:t>
      </w:r>
    </w:p>
    <w:p w:rsidR="004076CC" w:rsidRDefault="004076CC" w:rsidP="00270971">
      <w:pPr>
        <w:tabs>
          <w:tab w:val="left" w:pos="0"/>
          <w:tab w:val="left" w:pos="1440"/>
        </w:tabs>
        <w:suppressAutoHyphens/>
        <w:spacing w:line="120" w:lineRule="auto"/>
        <w:ind w:left="1440" w:hanging="1440"/>
        <w:rPr>
          <w:rFonts w:ascii="Univers" w:hAnsi="Univers"/>
          <w:sz w:val="24"/>
        </w:rPr>
      </w:pPr>
    </w:p>
    <w:p w:rsidR="004076CC" w:rsidRDefault="004076CC">
      <w:pPr>
        <w:numPr>
          <w:ilvl w:val="0"/>
          <w:numId w:val="5"/>
        </w:numPr>
        <w:tabs>
          <w:tab w:val="left" w:pos="-720"/>
          <w:tab w:val="left" w:pos="0"/>
          <w:tab w:val="left" w:pos="720"/>
        </w:tabs>
        <w:suppressAutoHyphens/>
        <w:rPr>
          <w:rFonts w:ascii="Univers" w:hAnsi="Univers"/>
          <w:sz w:val="24"/>
        </w:rPr>
      </w:pPr>
      <w:r>
        <w:rPr>
          <w:rFonts w:ascii="Univers" w:hAnsi="Univers"/>
          <w:b/>
          <w:sz w:val="24"/>
        </w:rPr>
        <w:t>Criminal Background Checks</w:t>
      </w:r>
    </w:p>
    <w:p w:rsidR="004076CC" w:rsidRDefault="004076CC" w:rsidP="00270971">
      <w:pPr>
        <w:pStyle w:val="EndnoteText"/>
        <w:tabs>
          <w:tab w:val="left" w:pos="-720"/>
          <w:tab w:val="left" w:pos="0"/>
          <w:tab w:val="left" w:pos="720"/>
        </w:tabs>
        <w:suppressAutoHyphens/>
        <w:spacing w:line="120" w:lineRule="auto"/>
        <w:rPr>
          <w:rFonts w:ascii="Univers" w:hAnsi="Univers"/>
        </w:rPr>
      </w:pPr>
    </w:p>
    <w:p w:rsidR="008314EF" w:rsidRDefault="004076CC" w:rsidP="00CE2C8D">
      <w:pPr>
        <w:pStyle w:val="BodyText"/>
        <w:tabs>
          <w:tab w:val="clear" w:pos="1440"/>
        </w:tabs>
        <w:ind w:left="1440"/>
        <w:jc w:val="both"/>
      </w:pPr>
      <w:r>
        <w:t>All prospective employees</w:t>
      </w:r>
      <w:r w:rsidR="004B154C">
        <w:t>, including contracted employees, interns and volunteers,</w:t>
      </w:r>
      <w:r>
        <w:t xml:space="preserve"> shall have had a criminal background check prior to employment. </w:t>
      </w:r>
      <w:r w:rsidR="008314EF">
        <w:t>This includes:</w:t>
      </w:r>
    </w:p>
    <w:p w:rsidR="008314EF" w:rsidRDefault="008314EF" w:rsidP="00CE2C8D">
      <w:pPr>
        <w:pStyle w:val="BodyText"/>
        <w:tabs>
          <w:tab w:val="clear" w:pos="1440"/>
        </w:tabs>
        <w:ind w:left="1440"/>
        <w:jc w:val="both"/>
      </w:pPr>
    </w:p>
    <w:p w:rsidR="008314EF" w:rsidRDefault="008314EF" w:rsidP="00CE2C8D">
      <w:pPr>
        <w:pStyle w:val="BodyText"/>
        <w:tabs>
          <w:tab w:val="clear" w:pos="1440"/>
        </w:tabs>
        <w:ind w:left="1440"/>
        <w:jc w:val="both"/>
      </w:pPr>
      <w:r>
        <w:t>Michigan State Police Criminal Check</w:t>
      </w:r>
    </w:p>
    <w:p w:rsidR="00D1575B" w:rsidRDefault="00241C72" w:rsidP="00CE2C8D">
      <w:pPr>
        <w:pStyle w:val="BodyText"/>
        <w:tabs>
          <w:tab w:val="clear" w:pos="1440"/>
        </w:tabs>
        <w:ind w:left="1440"/>
        <w:jc w:val="both"/>
      </w:pPr>
      <w:r>
        <w:t>Department of Human Services Central Registry Background check</w:t>
      </w:r>
    </w:p>
    <w:p w:rsidR="008314EF" w:rsidRDefault="008314EF" w:rsidP="00CE2C8D">
      <w:pPr>
        <w:pStyle w:val="BodyText"/>
        <w:tabs>
          <w:tab w:val="clear" w:pos="1440"/>
        </w:tabs>
        <w:ind w:left="1440"/>
        <w:jc w:val="both"/>
      </w:pPr>
      <w:r>
        <w:t>National Sex Offender Check</w:t>
      </w:r>
    </w:p>
    <w:p w:rsidR="008314EF" w:rsidRDefault="008314EF" w:rsidP="00CE2C8D">
      <w:pPr>
        <w:pStyle w:val="BodyText"/>
        <w:tabs>
          <w:tab w:val="clear" w:pos="1440"/>
        </w:tabs>
        <w:ind w:left="1440"/>
        <w:jc w:val="both"/>
      </w:pPr>
      <w:r>
        <w:t>Michigan Department of Community Health Medicaid Sanction Check</w:t>
      </w:r>
    </w:p>
    <w:p w:rsidR="008314EF" w:rsidRDefault="008314EF" w:rsidP="00CE2C8D">
      <w:pPr>
        <w:pStyle w:val="BodyText"/>
        <w:tabs>
          <w:tab w:val="clear" w:pos="1440"/>
        </w:tabs>
        <w:ind w:left="1440"/>
        <w:jc w:val="both"/>
      </w:pPr>
      <w:r>
        <w:t>National Medicaid Sanction Check</w:t>
      </w:r>
    </w:p>
    <w:p w:rsidR="008314EF" w:rsidRDefault="008314EF" w:rsidP="00CE2C8D">
      <w:pPr>
        <w:pStyle w:val="BodyText"/>
        <w:tabs>
          <w:tab w:val="clear" w:pos="1440"/>
        </w:tabs>
        <w:ind w:left="1440"/>
        <w:jc w:val="both"/>
      </w:pPr>
      <w:r>
        <w:t xml:space="preserve">Secretary of State Drivers </w:t>
      </w:r>
    </w:p>
    <w:p w:rsidR="008314EF" w:rsidRDefault="008314EF" w:rsidP="00CE2C8D">
      <w:pPr>
        <w:pStyle w:val="BodyText"/>
        <w:tabs>
          <w:tab w:val="clear" w:pos="1440"/>
        </w:tabs>
        <w:ind w:left="1440"/>
        <w:jc w:val="both"/>
      </w:pPr>
    </w:p>
    <w:p w:rsidR="004076CC" w:rsidRDefault="004076CC" w:rsidP="00CE2C8D">
      <w:pPr>
        <w:pStyle w:val="BodyText"/>
        <w:tabs>
          <w:tab w:val="clear" w:pos="1440"/>
        </w:tabs>
        <w:ind w:left="1440"/>
        <w:jc w:val="both"/>
      </w:pPr>
      <w:r>
        <w:t>All current employees</w:t>
      </w:r>
      <w:r w:rsidR="004B154C">
        <w:t>, including contracted employees, interns and volunteers,</w:t>
      </w:r>
      <w:r>
        <w:t xml:space="preserve"> of </w:t>
      </w:r>
      <w:r w:rsidR="00D1575B">
        <w:t>ICCMHA</w:t>
      </w:r>
      <w:r>
        <w:t xml:space="preserve"> will also be subject to additional criminal background check</w:t>
      </w:r>
      <w:r w:rsidR="00B74D3A">
        <w:t>s</w:t>
      </w:r>
      <w:r>
        <w:t xml:space="preserve"> as a condition of continued employment. </w:t>
      </w:r>
      <w:r w:rsidR="008314EF">
        <w:t xml:space="preserve">This occurs upon re-credentialing of licensed staff, or minimally every two years for non-licensed staff. </w:t>
      </w:r>
    </w:p>
    <w:p w:rsidR="004076CC" w:rsidRDefault="004076CC" w:rsidP="00270971">
      <w:pPr>
        <w:pStyle w:val="BodyText"/>
        <w:spacing w:line="120" w:lineRule="auto"/>
        <w:ind w:left="720"/>
      </w:pPr>
    </w:p>
    <w:p w:rsidR="004076CC" w:rsidRDefault="004076CC">
      <w:pPr>
        <w:pStyle w:val="BodyText"/>
        <w:numPr>
          <w:ilvl w:val="0"/>
          <w:numId w:val="5"/>
        </w:numPr>
        <w:rPr>
          <w:b/>
        </w:rPr>
      </w:pPr>
      <w:r>
        <w:rPr>
          <w:b/>
        </w:rPr>
        <w:t>Driving Records</w:t>
      </w:r>
    </w:p>
    <w:p w:rsidR="004076CC" w:rsidRDefault="004076CC" w:rsidP="00270971">
      <w:pPr>
        <w:spacing w:line="120" w:lineRule="auto"/>
        <w:rPr>
          <w:rFonts w:ascii="Univers" w:hAnsi="Univers"/>
          <w:b/>
          <w:sz w:val="24"/>
        </w:rPr>
      </w:pPr>
    </w:p>
    <w:p w:rsidR="004076CC" w:rsidRDefault="004076CC" w:rsidP="00CE2C8D">
      <w:pPr>
        <w:pStyle w:val="BodyTextIndent"/>
        <w:tabs>
          <w:tab w:val="clear" w:pos="-720"/>
        </w:tabs>
        <w:suppressAutoHyphens w:val="0"/>
        <w:ind w:left="1440"/>
        <w:jc w:val="both"/>
        <w:rPr>
          <w:b/>
          <w:bCs/>
        </w:rPr>
      </w:pPr>
      <w:r>
        <w:t xml:space="preserve">All new and current employees or agency-sponsored volunteers who intend to drive agency-owned vehicles or to transport </w:t>
      </w:r>
      <w:r w:rsidR="003E2E3F">
        <w:t xml:space="preserve">consumers </w:t>
      </w:r>
      <w:r>
        <w:t xml:space="preserve">of this agency shall submit a copy of a valid and current Michigan driver’s license and authorize </w:t>
      </w:r>
      <w:r w:rsidR="00D1575B">
        <w:t>ICCMHA</w:t>
      </w:r>
      <w:r>
        <w:t xml:space="preserve"> to register the employee with the State of Michigan for </w:t>
      </w:r>
      <w:r w:rsidR="00B74D3A">
        <w:t xml:space="preserve">driving background checks </w:t>
      </w:r>
      <w:r>
        <w:t xml:space="preserve">prior to employment and </w:t>
      </w:r>
      <w:r w:rsidR="00D1575B">
        <w:t>ICCMHA</w:t>
      </w:r>
      <w:r w:rsidR="00B74D3A">
        <w:t xml:space="preserve"> will be notified </w:t>
      </w:r>
      <w:r w:rsidR="008314EF">
        <w:t>of</w:t>
      </w:r>
      <w:r w:rsidR="00B74D3A">
        <w:t xml:space="preserve"> any driving citation</w:t>
      </w:r>
      <w:r>
        <w:t>.</w:t>
      </w:r>
    </w:p>
    <w:p w:rsidR="004076CC" w:rsidRDefault="004076CC" w:rsidP="00270971">
      <w:pPr>
        <w:pStyle w:val="BodyTextIndent"/>
        <w:tabs>
          <w:tab w:val="clear" w:pos="-720"/>
        </w:tabs>
        <w:suppressAutoHyphens w:val="0"/>
        <w:spacing w:line="120" w:lineRule="auto"/>
        <w:ind w:left="1440"/>
      </w:pPr>
    </w:p>
    <w:p w:rsidR="003E2E3F" w:rsidRDefault="003E2E3F">
      <w:pPr>
        <w:pStyle w:val="BodyTextIndent"/>
        <w:numPr>
          <w:ilvl w:val="0"/>
          <w:numId w:val="5"/>
        </w:numPr>
        <w:tabs>
          <w:tab w:val="clear" w:pos="-720"/>
        </w:tabs>
        <w:suppressAutoHyphens w:val="0"/>
        <w:rPr>
          <w:b/>
          <w:bCs/>
        </w:rPr>
      </w:pPr>
      <w:r>
        <w:rPr>
          <w:b/>
          <w:bCs/>
        </w:rPr>
        <w:t>Adverse Drive</w:t>
      </w:r>
      <w:r w:rsidR="00C9462D">
        <w:rPr>
          <w:b/>
          <w:bCs/>
        </w:rPr>
        <w:t>r</w:t>
      </w:r>
      <w:r>
        <w:rPr>
          <w:b/>
          <w:bCs/>
        </w:rPr>
        <w:t>’s License Action</w:t>
      </w:r>
    </w:p>
    <w:p w:rsidR="003E2E3F" w:rsidRDefault="003E2E3F" w:rsidP="00270971">
      <w:pPr>
        <w:pStyle w:val="BodyTextIndent"/>
        <w:tabs>
          <w:tab w:val="clear" w:pos="-720"/>
        </w:tabs>
        <w:suppressAutoHyphens w:val="0"/>
        <w:spacing w:line="120" w:lineRule="auto"/>
        <w:rPr>
          <w:b/>
          <w:bCs/>
        </w:rPr>
      </w:pPr>
    </w:p>
    <w:p w:rsidR="00F421C3" w:rsidRDefault="003E2E3F" w:rsidP="00270971">
      <w:pPr>
        <w:pStyle w:val="BodyTextIndent"/>
        <w:tabs>
          <w:tab w:val="clear" w:pos="-720"/>
        </w:tabs>
        <w:suppressAutoHyphens w:val="0"/>
        <w:ind w:left="1440"/>
        <w:rPr>
          <w:bCs/>
        </w:rPr>
      </w:pPr>
      <w:r>
        <w:rPr>
          <w:bCs/>
        </w:rPr>
        <w:t>Any restriction or suspension of an employee</w:t>
      </w:r>
      <w:r w:rsidR="00B74D3A">
        <w:rPr>
          <w:bCs/>
        </w:rPr>
        <w:t>’</w:t>
      </w:r>
      <w:r>
        <w:rPr>
          <w:bCs/>
        </w:rPr>
        <w:t>s drivers license shall be reported by employee to HR Director immediately</w:t>
      </w:r>
      <w:r w:rsidR="004B154C">
        <w:rPr>
          <w:bCs/>
        </w:rPr>
        <w:t>.</w:t>
      </w:r>
      <w:r>
        <w:rPr>
          <w:bCs/>
        </w:rPr>
        <w:t xml:space="preserve"> </w:t>
      </w:r>
    </w:p>
    <w:p w:rsidR="00283F79" w:rsidRPr="00283F79" w:rsidRDefault="00283F79" w:rsidP="00B74D3A">
      <w:pPr>
        <w:pStyle w:val="BodyTextIndent"/>
        <w:tabs>
          <w:tab w:val="clear" w:pos="-720"/>
        </w:tabs>
        <w:suppressAutoHyphens w:val="0"/>
        <w:ind w:left="0"/>
        <w:rPr>
          <w:bCs/>
        </w:rPr>
      </w:pPr>
    </w:p>
    <w:p w:rsidR="004076CC" w:rsidRDefault="00B74D3A">
      <w:pPr>
        <w:pStyle w:val="BodyText"/>
        <w:ind w:left="720"/>
        <w:rPr>
          <w:b/>
        </w:rPr>
      </w:pPr>
      <w:r>
        <w:rPr>
          <w:b/>
        </w:rPr>
        <w:t>4</w:t>
      </w:r>
      <w:r w:rsidR="004076CC">
        <w:rPr>
          <w:b/>
        </w:rPr>
        <w:t>.0</w:t>
      </w:r>
      <w:r w:rsidR="004076CC">
        <w:rPr>
          <w:b/>
        </w:rPr>
        <w:tab/>
        <w:t>Confidentiality of Information</w:t>
      </w:r>
    </w:p>
    <w:p w:rsidR="004076CC" w:rsidRDefault="004076CC" w:rsidP="009C7384">
      <w:pPr>
        <w:spacing w:line="120" w:lineRule="auto"/>
        <w:rPr>
          <w:rFonts w:ascii="Univers" w:hAnsi="Univers"/>
          <w:b/>
          <w:sz w:val="24"/>
        </w:rPr>
      </w:pPr>
    </w:p>
    <w:p w:rsidR="004076CC" w:rsidRDefault="004076CC" w:rsidP="00CE2C8D">
      <w:pPr>
        <w:tabs>
          <w:tab w:val="left" w:pos="-720"/>
          <w:tab w:val="left" w:pos="0"/>
        </w:tabs>
        <w:suppressAutoHyphens/>
        <w:ind w:left="1440"/>
        <w:jc w:val="both"/>
        <w:rPr>
          <w:rFonts w:ascii="Arial" w:hAnsi="Arial"/>
          <w:spacing w:val="-3"/>
        </w:rPr>
      </w:pPr>
      <w:r>
        <w:rPr>
          <w:rFonts w:ascii="Univers" w:hAnsi="Univers"/>
          <w:sz w:val="24"/>
        </w:rPr>
        <w:lastRenderedPageBreak/>
        <w:t>All information obtained through background checks, including driving records, will be kept confidential to the fullest extent possible and allowable under law. The information will be</w:t>
      </w:r>
      <w:r w:rsidR="00CE2C8D">
        <w:rPr>
          <w:rFonts w:ascii="Univers" w:hAnsi="Univers"/>
          <w:sz w:val="24"/>
        </w:rPr>
        <w:t xml:space="preserve"> </w:t>
      </w:r>
      <w:r>
        <w:rPr>
          <w:rFonts w:ascii="Univers" w:hAnsi="Univers"/>
          <w:sz w:val="24"/>
        </w:rPr>
        <w:t>held in confidential files within the Human Resources Office</w:t>
      </w:r>
      <w:r w:rsidR="00CE2C8D">
        <w:rPr>
          <w:rFonts w:ascii="Univers" w:hAnsi="Univers"/>
          <w:sz w:val="24"/>
        </w:rPr>
        <w:t>,</w:t>
      </w:r>
      <w:r>
        <w:rPr>
          <w:rFonts w:ascii="Univers" w:hAnsi="Univers"/>
          <w:sz w:val="24"/>
        </w:rPr>
        <w:t xml:space="preserve"> available to the CEO</w:t>
      </w:r>
      <w:r w:rsidR="00CE2C8D">
        <w:rPr>
          <w:rFonts w:ascii="Univers" w:hAnsi="Univers"/>
          <w:sz w:val="24"/>
        </w:rPr>
        <w:t>,</w:t>
      </w:r>
      <w:r>
        <w:rPr>
          <w:rFonts w:ascii="Univers" w:hAnsi="Univers"/>
          <w:sz w:val="24"/>
        </w:rPr>
        <w:t xml:space="preserve"> and </w:t>
      </w:r>
      <w:r w:rsidR="009C7384">
        <w:rPr>
          <w:rFonts w:ascii="Univers" w:hAnsi="Univers"/>
          <w:sz w:val="24"/>
        </w:rPr>
        <w:t xml:space="preserve">reviewed </w:t>
      </w:r>
      <w:r>
        <w:rPr>
          <w:rFonts w:ascii="Univers" w:hAnsi="Univers"/>
          <w:sz w:val="24"/>
        </w:rPr>
        <w:t>only as necessary in</w:t>
      </w:r>
      <w:r>
        <w:rPr>
          <w:rFonts w:ascii="Univers" w:hAnsi="Univers"/>
        </w:rPr>
        <w:t xml:space="preserve"> </w:t>
      </w:r>
      <w:r>
        <w:rPr>
          <w:rFonts w:ascii="Univers" w:hAnsi="Univers"/>
          <w:sz w:val="24"/>
        </w:rPr>
        <w:t>determining the relevancy and potential impact on the individual’s performance of the job for which s/he is applying or is currently employed.</w:t>
      </w:r>
      <w:r>
        <w:rPr>
          <w:rFonts w:ascii="Arial" w:hAnsi="Arial"/>
          <w:spacing w:val="-3"/>
        </w:rPr>
        <w:t xml:space="preserve"> </w:t>
      </w:r>
    </w:p>
    <w:p w:rsidR="004076CC" w:rsidRDefault="004076CC">
      <w:pPr>
        <w:tabs>
          <w:tab w:val="left" w:pos="-720"/>
          <w:tab w:val="left" w:pos="0"/>
        </w:tabs>
        <w:suppressAutoHyphens/>
        <w:rPr>
          <w:rFonts w:ascii="Arial" w:hAnsi="Arial"/>
          <w:spacing w:val="-3"/>
        </w:rPr>
      </w:pPr>
    </w:p>
    <w:p w:rsidR="004076CC" w:rsidRDefault="00B74D3A">
      <w:pPr>
        <w:pStyle w:val="BodyTextIndent"/>
        <w:tabs>
          <w:tab w:val="clear" w:pos="-720"/>
        </w:tabs>
        <w:suppressAutoHyphens w:val="0"/>
        <w:ind w:left="1440" w:hanging="720"/>
        <w:rPr>
          <w:b/>
        </w:rPr>
      </w:pPr>
      <w:r>
        <w:rPr>
          <w:b/>
        </w:rPr>
        <w:t>5</w:t>
      </w:r>
      <w:r w:rsidR="004076CC">
        <w:rPr>
          <w:b/>
        </w:rPr>
        <w:t>.0</w:t>
      </w:r>
      <w:r w:rsidR="004076CC">
        <w:rPr>
          <w:b/>
        </w:rPr>
        <w:tab/>
        <w:t>Determination of Outcome of Background Checks and Driving Records</w:t>
      </w:r>
    </w:p>
    <w:p w:rsidR="004076CC" w:rsidRDefault="004076CC" w:rsidP="009C7384">
      <w:pPr>
        <w:pStyle w:val="BodyTextIndent"/>
        <w:tabs>
          <w:tab w:val="clear" w:pos="-720"/>
        </w:tabs>
        <w:suppressAutoHyphens w:val="0"/>
        <w:spacing w:line="120" w:lineRule="auto"/>
        <w:ind w:left="1440" w:hanging="720"/>
        <w:rPr>
          <w:b/>
        </w:rPr>
      </w:pPr>
    </w:p>
    <w:p w:rsidR="00CC377A" w:rsidRDefault="004076CC" w:rsidP="003E2E3F">
      <w:pPr>
        <w:pStyle w:val="BodyTextIndent3"/>
      </w:pPr>
      <w:r>
        <w:t xml:space="preserve">The CEO retains sole authority for judging the relevance, weight, and significance of the findings of all background checks and driving records, and for determining employment-related actions, including, but not limited to, hire, transfer, or termination of employment, resulting from those findings. The impact of such information on new or continued employment, transfers, promotions or assignment of duties will be determined by the CEO in consideration of such factors as the nature of the position for which the applicant or employee is being considered or is employed; the potential for risk to </w:t>
      </w:r>
      <w:r w:rsidR="00270971" w:rsidRPr="002D01D8">
        <w:t>consumers</w:t>
      </w:r>
      <w:r w:rsidRPr="002D01D8">
        <w:t>,</w:t>
      </w:r>
      <w:r>
        <w:t xml:space="preserve"> employees, or the organization; the type of offense committed; length of time since the offense; relevant regulations under Medicaid, licensing bodies, and accreditors; the length of time of employment (for current </w:t>
      </w:r>
      <w:r w:rsidR="00D1575B">
        <w:t>ICCMHA</w:t>
      </w:r>
      <w:r>
        <w:t xml:space="preserve"> employees); and other information or employment arrangements which may have a bearing on employment suitability. The CEO will document </w:t>
      </w:r>
      <w:r w:rsidR="009C7384">
        <w:t xml:space="preserve">in the employee’s personnel file the </w:t>
      </w:r>
      <w:r>
        <w:t xml:space="preserve">reasons for all decisions made in relation to this policy. </w:t>
      </w:r>
    </w:p>
    <w:p w:rsidR="00F421C3" w:rsidRDefault="00F421C3" w:rsidP="00CC377A">
      <w:pPr>
        <w:pStyle w:val="BodyTextIndent3"/>
        <w:ind w:left="0"/>
        <w:rPr>
          <w:b/>
        </w:rPr>
      </w:pPr>
    </w:p>
    <w:p w:rsidR="00CC377A" w:rsidRPr="00CC377A" w:rsidRDefault="00CC377A" w:rsidP="00CC377A">
      <w:pPr>
        <w:pStyle w:val="BodyTextIndent3"/>
        <w:ind w:left="0"/>
        <w:rPr>
          <w:b/>
        </w:rPr>
      </w:pPr>
      <w:r>
        <w:rPr>
          <w:b/>
        </w:rPr>
        <w:t>References</w:t>
      </w:r>
    </w:p>
    <w:p w:rsidR="00F421C3" w:rsidRDefault="00D17095" w:rsidP="00283F79">
      <w:pPr>
        <w:pStyle w:val="BodyTextIndent3"/>
        <w:jc w:val="left"/>
      </w:pPr>
      <w:r>
        <w:t>CARF, Section 1 Business Practices, Criteri</w:t>
      </w:r>
      <w:r w:rsidR="001F48C7">
        <w:t>on</w:t>
      </w:r>
      <w:r>
        <w:t xml:space="preserve"> F. Human Resources F.2, F.5, F.6, F.9 &amp; Crite</w:t>
      </w:r>
      <w:r w:rsidR="00270971">
        <w:t>ri</w:t>
      </w:r>
      <w:r w:rsidR="001F48C7">
        <w:t>on</w:t>
      </w:r>
      <w:r w:rsidR="00270971">
        <w:t xml:space="preserve"> E. Health &amp; Safety E.</w:t>
      </w:r>
      <w:r w:rsidR="001F48C7">
        <w:t>9</w:t>
      </w:r>
      <w:r w:rsidR="00270971">
        <w:t>.a-n</w:t>
      </w:r>
    </w:p>
    <w:p w:rsidR="00270971" w:rsidRDefault="00270971" w:rsidP="00283F79">
      <w:pPr>
        <w:pStyle w:val="BodyTextIndent3"/>
        <w:jc w:val="left"/>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768"/>
        <w:gridCol w:w="696"/>
        <w:gridCol w:w="696"/>
        <w:gridCol w:w="696"/>
      </w:tblGrid>
      <w:tr w:rsidR="004076CC">
        <w:trPr>
          <w:cantSplit/>
        </w:trPr>
        <w:tc>
          <w:tcPr>
            <w:tcW w:w="6768" w:type="dxa"/>
          </w:tcPr>
          <w:p w:rsidR="004076CC" w:rsidRDefault="004076CC">
            <w:pPr>
              <w:pStyle w:val="Header"/>
              <w:tabs>
                <w:tab w:val="clear" w:pos="4320"/>
                <w:tab w:val="clear" w:pos="8640"/>
              </w:tabs>
              <w:rPr>
                <w:rFonts w:ascii="Arial" w:hAnsi="Arial"/>
              </w:rPr>
            </w:pPr>
          </w:p>
          <w:p w:rsidR="004076CC" w:rsidRDefault="004076CC">
            <w:pPr>
              <w:pStyle w:val="Header"/>
              <w:tabs>
                <w:tab w:val="clear" w:pos="4320"/>
                <w:tab w:val="clear" w:pos="8640"/>
              </w:tabs>
              <w:rPr>
                <w:rFonts w:ascii="Arial" w:hAnsi="Arial"/>
              </w:rPr>
            </w:pPr>
          </w:p>
        </w:tc>
        <w:tc>
          <w:tcPr>
            <w:tcW w:w="696" w:type="dxa"/>
          </w:tcPr>
          <w:p w:rsidR="004076CC" w:rsidRDefault="004076CC">
            <w:pPr>
              <w:rPr>
                <w:rFonts w:ascii="Arial" w:hAnsi="Arial"/>
              </w:rPr>
            </w:pPr>
          </w:p>
        </w:tc>
        <w:tc>
          <w:tcPr>
            <w:tcW w:w="696" w:type="dxa"/>
          </w:tcPr>
          <w:p w:rsidR="004076CC" w:rsidRDefault="004076CC">
            <w:pPr>
              <w:rPr>
                <w:rFonts w:ascii="Arial" w:hAnsi="Arial"/>
              </w:rPr>
            </w:pPr>
          </w:p>
        </w:tc>
        <w:tc>
          <w:tcPr>
            <w:tcW w:w="696" w:type="dxa"/>
          </w:tcPr>
          <w:p w:rsidR="004076CC" w:rsidRDefault="004076CC">
            <w:pPr>
              <w:rPr>
                <w:rFonts w:ascii="Arial" w:hAnsi="Arial"/>
              </w:rPr>
            </w:pPr>
          </w:p>
        </w:tc>
      </w:tr>
      <w:tr w:rsidR="004076CC">
        <w:tc>
          <w:tcPr>
            <w:tcW w:w="6768" w:type="dxa"/>
          </w:tcPr>
          <w:p w:rsidR="004076CC" w:rsidRDefault="00842875">
            <w:pPr>
              <w:pStyle w:val="Header"/>
              <w:tabs>
                <w:tab w:val="clear" w:pos="4320"/>
                <w:tab w:val="clear" w:pos="8640"/>
              </w:tabs>
              <w:rPr>
                <w:rFonts w:ascii="Arial" w:hAnsi="Arial"/>
              </w:rPr>
            </w:pPr>
            <w:r>
              <w:rPr>
                <w:rFonts w:ascii="Arial" w:hAnsi="Arial"/>
              </w:rPr>
              <w:t>Robert S. Lathers, Chief Executive Officer</w:t>
            </w:r>
          </w:p>
        </w:tc>
        <w:tc>
          <w:tcPr>
            <w:tcW w:w="2088" w:type="dxa"/>
            <w:gridSpan w:val="3"/>
          </w:tcPr>
          <w:p w:rsidR="004076CC" w:rsidRDefault="004076CC">
            <w:pPr>
              <w:jc w:val="center"/>
              <w:rPr>
                <w:rFonts w:ascii="Arial" w:hAnsi="Arial"/>
              </w:rPr>
            </w:pPr>
            <w:r>
              <w:rPr>
                <w:rFonts w:ascii="Arial" w:hAnsi="Arial"/>
              </w:rPr>
              <w:t>Date</w:t>
            </w:r>
          </w:p>
        </w:tc>
      </w:tr>
    </w:tbl>
    <w:p w:rsidR="004076CC" w:rsidRPr="00C22557" w:rsidRDefault="00C22557" w:rsidP="00C22557">
      <w:pPr>
        <w:tabs>
          <w:tab w:val="right" w:pos="9270"/>
        </w:tabs>
        <w:rPr>
          <w:i/>
        </w:rPr>
      </w:pPr>
      <w:r>
        <w:rPr>
          <w:i/>
        </w:rPr>
        <w:tab/>
      </w:r>
    </w:p>
    <w:sectPr w:rsidR="004076CC" w:rsidRPr="00C22557" w:rsidSect="00B74D3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5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A79" w:rsidRDefault="007F1A79">
      <w:r>
        <w:separator/>
      </w:r>
    </w:p>
  </w:endnote>
  <w:endnote w:type="continuationSeparator" w:id="0">
    <w:p w:rsidR="007F1A79" w:rsidRDefault="007F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54C" w:rsidRDefault="004B15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54C" w:rsidRDefault="004B15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54C" w:rsidRDefault="004B15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A79" w:rsidRDefault="007F1A79">
      <w:r>
        <w:separator/>
      </w:r>
    </w:p>
  </w:footnote>
  <w:footnote w:type="continuationSeparator" w:id="0">
    <w:p w:rsidR="007F1A79" w:rsidRDefault="007F1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54C" w:rsidRDefault="004B15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EF" w:rsidRDefault="008314EF">
    <w:pPr>
      <w:pStyle w:val="Header"/>
      <w:jc w:val="center"/>
      <w:rPr>
        <w:rFonts w:ascii="Arial" w:hAnsi="Arial"/>
      </w:rPr>
    </w:pPr>
    <w:r>
      <w:rPr>
        <w:rFonts w:ascii="Arial" w:hAnsi="Arial"/>
      </w:rPr>
      <w:t xml:space="preserve">Ionia </w:t>
    </w:r>
    <w:smartTag w:uri="urn:schemas-microsoft-com:office:smarttags" w:element="PlaceType">
      <w:r>
        <w:rPr>
          <w:rFonts w:ascii="Arial" w:hAnsi="Arial"/>
        </w:rPr>
        <w:t>County</w:t>
      </w:r>
    </w:smartTag>
    <w:r>
      <w:rPr>
        <w:rFonts w:ascii="Arial" w:hAnsi="Arial"/>
      </w:rPr>
      <w:t xml:space="preserve"> Community Mental Health</w:t>
    </w:r>
  </w:p>
  <w:p w:rsidR="008314EF" w:rsidRDefault="008314EF">
    <w:pPr>
      <w:pStyle w:val="Header"/>
      <w:jc w:val="center"/>
      <w:rPr>
        <w:rFonts w:ascii="Arial" w:hAnsi="Arial"/>
      </w:rPr>
    </w:pPr>
  </w:p>
  <w:tbl>
    <w:tblPr>
      <w:tblW w:w="0" w:type="auto"/>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700"/>
      <w:gridCol w:w="1320"/>
      <w:gridCol w:w="1350"/>
      <w:gridCol w:w="1260"/>
    </w:tblGrid>
    <w:tr w:rsidR="008314EF" w:rsidTr="002C5615">
      <w:tc>
        <w:tcPr>
          <w:tcW w:w="5700" w:type="dxa"/>
          <w:tcBorders>
            <w:top w:val="double" w:sz="4" w:space="0" w:color="auto"/>
            <w:bottom w:val="double" w:sz="4" w:space="0" w:color="auto"/>
          </w:tcBorders>
        </w:tcPr>
        <w:p w:rsidR="008314EF" w:rsidRDefault="008314EF">
          <w:pPr>
            <w:pStyle w:val="Header"/>
            <w:rPr>
              <w:rFonts w:ascii="Arial" w:hAnsi="Arial"/>
              <w:sz w:val="28"/>
            </w:rPr>
          </w:pPr>
          <w:r>
            <w:rPr>
              <w:rFonts w:ascii="Arial" w:hAnsi="Arial"/>
            </w:rPr>
            <w:t>Chapter Title</w:t>
          </w:r>
        </w:p>
        <w:p w:rsidR="008314EF" w:rsidRDefault="008314EF">
          <w:pPr>
            <w:pStyle w:val="Header"/>
            <w:rPr>
              <w:rFonts w:ascii="Arial" w:hAnsi="Arial"/>
              <w:sz w:val="28"/>
            </w:rPr>
          </w:pPr>
        </w:p>
        <w:p w:rsidR="008314EF" w:rsidRDefault="008314EF">
          <w:pPr>
            <w:pStyle w:val="Header"/>
            <w:rPr>
              <w:rFonts w:ascii="Arial" w:hAnsi="Arial"/>
              <w:sz w:val="28"/>
            </w:rPr>
          </w:pPr>
          <w:r>
            <w:rPr>
              <w:rFonts w:ascii="Arial" w:hAnsi="Arial"/>
              <w:sz w:val="28"/>
            </w:rPr>
            <w:t>Human Resources</w:t>
          </w:r>
        </w:p>
        <w:p w:rsidR="008314EF" w:rsidRDefault="008314EF">
          <w:pPr>
            <w:pStyle w:val="Header"/>
            <w:rPr>
              <w:rFonts w:ascii="Arial" w:hAnsi="Arial"/>
              <w:sz w:val="28"/>
            </w:rPr>
          </w:pPr>
        </w:p>
      </w:tc>
      <w:tc>
        <w:tcPr>
          <w:tcW w:w="1320" w:type="dxa"/>
          <w:tcBorders>
            <w:top w:val="double" w:sz="4" w:space="0" w:color="auto"/>
            <w:bottom w:val="double" w:sz="4" w:space="0" w:color="auto"/>
          </w:tcBorders>
        </w:tcPr>
        <w:p w:rsidR="008314EF" w:rsidRDefault="008314EF">
          <w:pPr>
            <w:pStyle w:val="Header"/>
            <w:jc w:val="center"/>
            <w:rPr>
              <w:rFonts w:ascii="Arial" w:hAnsi="Arial"/>
              <w:lang w:val="fr-FR"/>
            </w:rPr>
          </w:pPr>
          <w:r>
            <w:rPr>
              <w:rFonts w:ascii="Arial" w:hAnsi="Arial"/>
              <w:lang w:val="fr-FR"/>
            </w:rPr>
            <w:t>Chapter #</w:t>
          </w:r>
        </w:p>
        <w:p w:rsidR="008314EF" w:rsidRDefault="008314EF">
          <w:pPr>
            <w:pStyle w:val="Header"/>
            <w:jc w:val="center"/>
            <w:rPr>
              <w:rFonts w:ascii="Arial" w:hAnsi="Arial"/>
              <w:lang w:val="fr-FR"/>
            </w:rPr>
          </w:pPr>
        </w:p>
        <w:p w:rsidR="008314EF" w:rsidRDefault="008314EF">
          <w:pPr>
            <w:pStyle w:val="Header"/>
            <w:jc w:val="center"/>
            <w:rPr>
              <w:rFonts w:ascii="Arial" w:hAnsi="Arial"/>
              <w:lang w:val="fr-FR"/>
            </w:rPr>
          </w:pPr>
          <w:r>
            <w:rPr>
              <w:rFonts w:ascii="Arial" w:hAnsi="Arial"/>
              <w:lang w:val="fr-FR"/>
            </w:rPr>
            <w:t>HR</w:t>
          </w:r>
        </w:p>
        <w:p w:rsidR="008314EF" w:rsidRDefault="008314EF">
          <w:pPr>
            <w:pStyle w:val="Header"/>
            <w:jc w:val="center"/>
            <w:rPr>
              <w:rFonts w:ascii="Arial" w:hAnsi="Arial"/>
              <w:sz w:val="28"/>
              <w:lang w:val="fr-FR"/>
            </w:rPr>
          </w:pPr>
        </w:p>
      </w:tc>
      <w:tc>
        <w:tcPr>
          <w:tcW w:w="2610" w:type="dxa"/>
          <w:gridSpan w:val="2"/>
          <w:tcBorders>
            <w:top w:val="double" w:sz="4" w:space="0" w:color="auto"/>
            <w:bottom w:val="double" w:sz="4" w:space="0" w:color="auto"/>
          </w:tcBorders>
        </w:tcPr>
        <w:p w:rsidR="008314EF" w:rsidRDefault="008314EF">
          <w:pPr>
            <w:pStyle w:val="Header"/>
            <w:jc w:val="center"/>
            <w:rPr>
              <w:rFonts w:ascii="Arial" w:hAnsi="Arial"/>
              <w:lang w:val="fr-FR"/>
            </w:rPr>
          </w:pPr>
          <w:r>
            <w:rPr>
              <w:rFonts w:ascii="Arial" w:hAnsi="Arial"/>
              <w:lang w:val="fr-FR"/>
            </w:rPr>
            <w:t>Section #</w:t>
          </w:r>
        </w:p>
        <w:p w:rsidR="008314EF" w:rsidRDefault="008314EF">
          <w:pPr>
            <w:pStyle w:val="Header"/>
            <w:jc w:val="center"/>
            <w:rPr>
              <w:rFonts w:ascii="Arial" w:hAnsi="Arial"/>
              <w:lang w:val="fr-FR"/>
            </w:rPr>
          </w:pPr>
        </w:p>
        <w:p w:rsidR="008314EF" w:rsidRDefault="008314EF" w:rsidP="00842875">
          <w:pPr>
            <w:pStyle w:val="Header"/>
            <w:jc w:val="center"/>
            <w:rPr>
              <w:rFonts w:ascii="Arial" w:hAnsi="Arial"/>
            </w:rPr>
          </w:pPr>
          <w:r>
            <w:rPr>
              <w:rFonts w:ascii="Arial" w:hAnsi="Arial"/>
            </w:rPr>
            <w:t>560.3</w:t>
          </w:r>
        </w:p>
      </w:tc>
    </w:tr>
    <w:tr w:rsidR="008314EF">
      <w:trPr>
        <w:cantSplit/>
      </w:trPr>
      <w:tc>
        <w:tcPr>
          <w:tcW w:w="5700" w:type="dxa"/>
          <w:tcBorders>
            <w:top w:val="double" w:sz="4" w:space="0" w:color="auto"/>
            <w:bottom w:val="double" w:sz="4" w:space="0" w:color="auto"/>
          </w:tcBorders>
        </w:tcPr>
        <w:p w:rsidR="008314EF" w:rsidRDefault="008314EF">
          <w:pPr>
            <w:pStyle w:val="Header"/>
            <w:rPr>
              <w:rFonts w:ascii="Arial" w:hAnsi="Arial"/>
              <w:b/>
              <w:sz w:val="28"/>
            </w:rPr>
          </w:pPr>
          <w:r>
            <w:rPr>
              <w:rFonts w:ascii="Arial" w:hAnsi="Arial"/>
            </w:rPr>
            <w:t>Subject Title</w:t>
          </w:r>
        </w:p>
        <w:p w:rsidR="008314EF" w:rsidRDefault="008314EF">
          <w:pPr>
            <w:pStyle w:val="Header"/>
            <w:rPr>
              <w:rFonts w:ascii="Arial" w:hAnsi="Arial"/>
            </w:rPr>
          </w:pPr>
          <w:r>
            <w:rPr>
              <w:rFonts w:ascii="Arial" w:hAnsi="Arial"/>
              <w:b/>
              <w:sz w:val="28"/>
            </w:rPr>
            <w:t>Background Checks</w:t>
          </w:r>
        </w:p>
      </w:tc>
      <w:tc>
        <w:tcPr>
          <w:tcW w:w="1320" w:type="dxa"/>
          <w:tcBorders>
            <w:top w:val="double" w:sz="4" w:space="0" w:color="auto"/>
            <w:bottom w:val="double" w:sz="4" w:space="0" w:color="auto"/>
          </w:tcBorders>
        </w:tcPr>
        <w:p w:rsidR="008314EF" w:rsidRPr="00270971" w:rsidRDefault="008314EF" w:rsidP="00CC377A">
          <w:pPr>
            <w:pStyle w:val="Header"/>
            <w:jc w:val="center"/>
            <w:rPr>
              <w:rFonts w:ascii="Arial" w:hAnsi="Arial"/>
              <w:sz w:val="20"/>
            </w:rPr>
          </w:pPr>
          <w:r w:rsidRPr="00270971">
            <w:rPr>
              <w:rFonts w:ascii="Arial" w:hAnsi="Arial"/>
              <w:sz w:val="20"/>
            </w:rPr>
            <w:t>Adopted</w:t>
          </w:r>
        </w:p>
        <w:p w:rsidR="008314EF" w:rsidRPr="00270971" w:rsidRDefault="008314EF" w:rsidP="00CC377A">
          <w:pPr>
            <w:pStyle w:val="Header"/>
            <w:jc w:val="center"/>
            <w:rPr>
              <w:rFonts w:ascii="Arial" w:hAnsi="Arial"/>
              <w:sz w:val="20"/>
            </w:rPr>
          </w:pPr>
          <w:r>
            <w:rPr>
              <w:rFonts w:ascii="Arial" w:hAnsi="Arial"/>
              <w:sz w:val="20"/>
            </w:rPr>
            <w:t>2/7/11</w:t>
          </w:r>
        </w:p>
      </w:tc>
      <w:tc>
        <w:tcPr>
          <w:tcW w:w="1350" w:type="dxa"/>
          <w:tcBorders>
            <w:top w:val="double" w:sz="4" w:space="0" w:color="auto"/>
            <w:bottom w:val="double" w:sz="4" w:space="0" w:color="auto"/>
          </w:tcBorders>
        </w:tcPr>
        <w:p w:rsidR="008314EF" w:rsidRPr="00270971" w:rsidRDefault="008314EF">
          <w:pPr>
            <w:pStyle w:val="Header"/>
            <w:jc w:val="center"/>
            <w:rPr>
              <w:rFonts w:ascii="Arial" w:hAnsi="Arial"/>
              <w:sz w:val="20"/>
            </w:rPr>
          </w:pPr>
          <w:r w:rsidRPr="00270971">
            <w:rPr>
              <w:rFonts w:ascii="Arial" w:hAnsi="Arial"/>
              <w:sz w:val="20"/>
            </w:rPr>
            <w:t>Last Revised</w:t>
          </w:r>
        </w:p>
        <w:p w:rsidR="00241C72" w:rsidRPr="00270971" w:rsidRDefault="004B154C" w:rsidP="00CB7261">
          <w:pPr>
            <w:pStyle w:val="Header"/>
            <w:jc w:val="center"/>
            <w:rPr>
              <w:rFonts w:ascii="Arial" w:hAnsi="Arial"/>
              <w:sz w:val="20"/>
            </w:rPr>
          </w:pPr>
          <w:r>
            <w:rPr>
              <w:rFonts w:ascii="Arial" w:hAnsi="Arial"/>
              <w:sz w:val="20"/>
            </w:rPr>
            <w:t>5/12/15</w:t>
          </w:r>
        </w:p>
      </w:tc>
      <w:tc>
        <w:tcPr>
          <w:tcW w:w="1260" w:type="dxa"/>
          <w:tcBorders>
            <w:top w:val="double" w:sz="4" w:space="0" w:color="auto"/>
            <w:bottom w:val="double" w:sz="4" w:space="0" w:color="auto"/>
          </w:tcBorders>
        </w:tcPr>
        <w:p w:rsidR="008314EF" w:rsidRPr="00F421C3" w:rsidRDefault="008314EF">
          <w:pPr>
            <w:pStyle w:val="Header"/>
            <w:jc w:val="center"/>
            <w:rPr>
              <w:rFonts w:ascii="Arial" w:hAnsi="Arial"/>
              <w:sz w:val="18"/>
              <w:szCs w:val="18"/>
            </w:rPr>
          </w:pPr>
          <w:r w:rsidRPr="00F421C3">
            <w:rPr>
              <w:rFonts w:ascii="Arial" w:hAnsi="Arial"/>
              <w:sz w:val="18"/>
              <w:szCs w:val="18"/>
            </w:rPr>
            <w:t>Reviewed</w:t>
          </w:r>
        </w:p>
        <w:p w:rsidR="008314EF" w:rsidRDefault="008314EF">
          <w:pPr>
            <w:pStyle w:val="Header"/>
            <w:jc w:val="center"/>
            <w:rPr>
              <w:rFonts w:ascii="Arial" w:hAnsi="Arial"/>
            </w:rPr>
          </w:pPr>
          <w:r>
            <w:rPr>
              <w:rFonts w:ascii="Arial" w:hAnsi="Arial"/>
            </w:rPr>
            <w:t>2/7/11</w:t>
          </w:r>
          <w:r w:rsidR="00F34601">
            <w:rPr>
              <w:rFonts w:ascii="Arial" w:hAnsi="Arial"/>
            </w:rPr>
            <w:t>;</w:t>
          </w:r>
        </w:p>
        <w:p w:rsidR="00F34601" w:rsidRDefault="00F34601">
          <w:pPr>
            <w:pStyle w:val="Header"/>
            <w:jc w:val="center"/>
            <w:rPr>
              <w:rFonts w:ascii="Arial" w:hAnsi="Arial"/>
            </w:rPr>
          </w:pPr>
          <w:r>
            <w:rPr>
              <w:rFonts w:ascii="Arial" w:hAnsi="Arial"/>
            </w:rPr>
            <w:t>10/14/13</w:t>
          </w:r>
          <w:r w:rsidR="00D1575B">
            <w:rPr>
              <w:rFonts w:ascii="Arial" w:hAnsi="Arial"/>
            </w:rPr>
            <w:t>;</w:t>
          </w:r>
        </w:p>
        <w:p w:rsidR="00D1575B" w:rsidRDefault="00D1575B">
          <w:pPr>
            <w:pStyle w:val="Header"/>
            <w:jc w:val="center"/>
            <w:rPr>
              <w:rFonts w:ascii="Arial" w:hAnsi="Arial"/>
            </w:rPr>
          </w:pPr>
          <w:r>
            <w:rPr>
              <w:rFonts w:ascii="Arial" w:hAnsi="Arial"/>
            </w:rPr>
            <w:t>2/13/14</w:t>
          </w:r>
          <w:r w:rsidR="004B154C">
            <w:rPr>
              <w:rFonts w:ascii="Arial" w:hAnsi="Arial"/>
            </w:rPr>
            <w:t>;</w:t>
          </w:r>
        </w:p>
        <w:p w:rsidR="004B154C" w:rsidRDefault="004B154C">
          <w:pPr>
            <w:pStyle w:val="Header"/>
            <w:jc w:val="center"/>
            <w:rPr>
              <w:rFonts w:ascii="Arial" w:hAnsi="Arial"/>
            </w:rPr>
          </w:pPr>
          <w:r>
            <w:rPr>
              <w:rFonts w:ascii="Arial" w:hAnsi="Arial"/>
            </w:rPr>
            <w:t>5/12/15</w:t>
          </w:r>
        </w:p>
      </w:tc>
    </w:tr>
  </w:tbl>
  <w:p w:rsidR="008314EF" w:rsidRDefault="008314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54C" w:rsidRDefault="004B15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1111B"/>
    <w:multiLevelType w:val="multilevel"/>
    <w:tmpl w:val="DD38336C"/>
    <w:lvl w:ilvl="0">
      <w:start w:val="4"/>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1FCF6F30"/>
    <w:multiLevelType w:val="multilevel"/>
    <w:tmpl w:val="EED4FE18"/>
    <w:lvl w:ilvl="0">
      <w:start w:val="1"/>
      <w:numFmt w:val="decimal"/>
      <w:lvlText w:val="%1.0"/>
      <w:lvlJc w:val="left"/>
      <w:pPr>
        <w:tabs>
          <w:tab w:val="num" w:pos="1440"/>
        </w:tabs>
        <w:ind w:left="1440" w:hanging="720"/>
      </w:pPr>
      <w:rPr>
        <w:rFonts w:hint="default"/>
        <w:b/>
      </w:rPr>
    </w:lvl>
    <w:lvl w:ilvl="1">
      <w:start w:val="1"/>
      <w:numFmt w:val="decimal"/>
      <w:lvlText w:val="%1.%2"/>
      <w:lvlJc w:val="left"/>
      <w:pPr>
        <w:tabs>
          <w:tab w:val="num" w:pos="2160"/>
        </w:tabs>
        <w:ind w:left="2160" w:hanging="720"/>
      </w:pPr>
      <w:rPr>
        <w:b w:val="0"/>
        <w:i w:val="0"/>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108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760"/>
        </w:tabs>
        <w:ind w:left="576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560"/>
        </w:tabs>
        <w:ind w:left="7560" w:hanging="1800"/>
      </w:pPr>
      <w:rPr>
        <w:rFonts w:hint="default"/>
        <w:b/>
      </w:rPr>
    </w:lvl>
    <w:lvl w:ilvl="8">
      <w:start w:val="1"/>
      <w:numFmt w:val="decimal"/>
      <w:lvlText w:val="%1.%2.%3.%4.%5.%6.%7.%8.%9"/>
      <w:lvlJc w:val="left"/>
      <w:pPr>
        <w:tabs>
          <w:tab w:val="num" w:pos="8280"/>
        </w:tabs>
        <w:ind w:left="8280" w:hanging="1800"/>
      </w:pPr>
      <w:rPr>
        <w:rFonts w:hint="default"/>
        <w:b/>
      </w:rPr>
    </w:lvl>
  </w:abstractNum>
  <w:abstractNum w:abstractNumId="2">
    <w:nsid w:val="5B2030B9"/>
    <w:multiLevelType w:val="multilevel"/>
    <w:tmpl w:val="89806DDA"/>
    <w:lvl w:ilvl="0">
      <w:start w:val="1"/>
      <w:numFmt w:val="decimal"/>
      <w:lvlText w:val="%1.0"/>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2ED3D83"/>
    <w:multiLevelType w:val="multilevel"/>
    <w:tmpl w:val="33E2BB4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7871530E"/>
    <w:multiLevelType w:val="multilevel"/>
    <w:tmpl w:val="0A6C0AEE"/>
    <w:lvl w:ilvl="0">
      <w:start w:val="1"/>
      <w:numFmt w:val="decimal"/>
      <w:lvlText w:val="%1.0"/>
      <w:lvlJc w:val="left"/>
      <w:pPr>
        <w:tabs>
          <w:tab w:val="num" w:pos="1440"/>
        </w:tabs>
        <w:ind w:left="1440" w:hanging="720"/>
      </w:pPr>
      <w:rPr>
        <w:rFonts w:hint="default"/>
        <w:b/>
      </w:rPr>
    </w:lvl>
    <w:lvl w:ilvl="1">
      <w:start w:val="1"/>
      <w:numFmt w:val="decimal"/>
      <w:lvlText w:val="%1.%2"/>
      <w:lvlJc w:val="left"/>
      <w:pPr>
        <w:tabs>
          <w:tab w:val="num" w:pos="2160"/>
        </w:tabs>
        <w:ind w:left="2160" w:hanging="7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108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760"/>
        </w:tabs>
        <w:ind w:left="5760" w:hanging="1440"/>
      </w:pPr>
      <w:rPr>
        <w:rFonts w:hint="default"/>
        <w:b/>
      </w:rPr>
    </w:lvl>
    <w:lvl w:ilvl="6">
      <w:start w:val="1"/>
      <w:numFmt w:val="decimal"/>
      <w:lvlText w:val="%1.%2.%3.%4.%5.%6.%7"/>
      <w:lvlJc w:val="left"/>
      <w:pPr>
        <w:tabs>
          <w:tab w:val="num" w:pos="6840"/>
        </w:tabs>
        <w:ind w:left="6840" w:hanging="1800"/>
      </w:pPr>
      <w:rPr>
        <w:rFonts w:hint="default"/>
        <w:b/>
      </w:rPr>
    </w:lvl>
    <w:lvl w:ilvl="7">
      <w:start w:val="1"/>
      <w:numFmt w:val="decimal"/>
      <w:lvlText w:val="%1.%2.%3.%4.%5.%6.%7.%8"/>
      <w:lvlJc w:val="left"/>
      <w:pPr>
        <w:tabs>
          <w:tab w:val="num" w:pos="7560"/>
        </w:tabs>
        <w:ind w:left="7560" w:hanging="1800"/>
      </w:pPr>
      <w:rPr>
        <w:rFonts w:hint="default"/>
        <w:b/>
      </w:rPr>
    </w:lvl>
    <w:lvl w:ilvl="8">
      <w:start w:val="1"/>
      <w:numFmt w:val="decimal"/>
      <w:lvlText w:val="%1.%2.%3.%4.%5.%6.%7.%8.%9"/>
      <w:lvlJc w:val="left"/>
      <w:pPr>
        <w:tabs>
          <w:tab w:val="num" w:pos="8640"/>
        </w:tabs>
        <w:ind w:left="8640" w:hanging="2160"/>
      </w:pPr>
      <w:rPr>
        <w:rFonts w:hint="default"/>
        <w:b/>
      </w:rPr>
    </w:lvl>
  </w:abstractNum>
  <w:abstractNum w:abstractNumId="5">
    <w:nsid w:val="7A9C72C7"/>
    <w:multiLevelType w:val="multilevel"/>
    <w:tmpl w:val="EED4FE18"/>
    <w:lvl w:ilvl="0">
      <w:start w:val="1"/>
      <w:numFmt w:val="decimal"/>
      <w:lvlText w:val="%1.0"/>
      <w:lvlJc w:val="left"/>
      <w:pPr>
        <w:tabs>
          <w:tab w:val="num" w:pos="1440"/>
        </w:tabs>
        <w:ind w:left="1440" w:hanging="720"/>
      </w:pPr>
      <w:rPr>
        <w:rFonts w:hint="default"/>
        <w:b/>
      </w:rPr>
    </w:lvl>
    <w:lvl w:ilvl="1">
      <w:start w:val="1"/>
      <w:numFmt w:val="decimal"/>
      <w:lvlText w:val="%1.%2"/>
      <w:lvlJc w:val="left"/>
      <w:pPr>
        <w:tabs>
          <w:tab w:val="num" w:pos="2160"/>
        </w:tabs>
        <w:ind w:left="2160" w:hanging="720"/>
      </w:pPr>
      <w:rPr>
        <w:b w:val="0"/>
        <w:i w:val="0"/>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108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760"/>
        </w:tabs>
        <w:ind w:left="576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560"/>
        </w:tabs>
        <w:ind w:left="7560" w:hanging="1800"/>
      </w:pPr>
      <w:rPr>
        <w:rFonts w:hint="default"/>
        <w:b/>
      </w:rPr>
    </w:lvl>
    <w:lvl w:ilvl="8">
      <w:start w:val="1"/>
      <w:numFmt w:val="decimal"/>
      <w:lvlText w:val="%1.%2.%3.%4.%5.%6.%7.%8.%9"/>
      <w:lvlJc w:val="left"/>
      <w:pPr>
        <w:tabs>
          <w:tab w:val="num" w:pos="8280"/>
        </w:tabs>
        <w:ind w:left="8280" w:hanging="1800"/>
      </w:pPr>
      <w:rPr>
        <w:rFonts w:hint="default"/>
        <w:b/>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13316"/>
  </w:hdrShapeDefaults>
  <w:footnotePr>
    <w:footnote w:id="-1"/>
    <w:footnote w:id="0"/>
  </w:footnotePr>
  <w:endnotePr>
    <w:endnote w:id="-1"/>
    <w:endnote w:id="0"/>
  </w:endnotePr>
  <w:compat/>
  <w:rsids>
    <w:rsidRoot w:val="00283F79"/>
    <w:rsid w:val="000442B7"/>
    <w:rsid w:val="00105C49"/>
    <w:rsid w:val="00195358"/>
    <w:rsid w:val="001B44BC"/>
    <w:rsid w:val="001E0D49"/>
    <w:rsid w:val="001F48C7"/>
    <w:rsid w:val="00241C72"/>
    <w:rsid w:val="002577F0"/>
    <w:rsid w:val="00270971"/>
    <w:rsid w:val="00283F79"/>
    <w:rsid w:val="002C5615"/>
    <w:rsid w:val="002C7661"/>
    <w:rsid w:val="002D01D8"/>
    <w:rsid w:val="003167DB"/>
    <w:rsid w:val="00326015"/>
    <w:rsid w:val="003E2E3F"/>
    <w:rsid w:val="004076CC"/>
    <w:rsid w:val="00452D2A"/>
    <w:rsid w:val="00463E3B"/>
    <w:rsid w:val="0047430C"/>
    <w:rsid w:val="004B154C"/>
    <w:rsid w:val="004C7D10"/>
    <w:rsid w:val="0051468A"/>
    <w:rsid w:val="00553810"/>
    <w:rsid w:val="00553E6B"/>
    <w:rsid w:val="00654E4E"/>
    <w:rsid w:val="006C7E13"/>
    <w:rsid w:val="00722FC6"/>
    <w:rsid w:val="00725318"/>
    <w:rsid w:val="007F1A79"/>
    <w:rsid w:val="008314EF"/>
    <w:rsid w:val="00842875"/>
    <w:rsid w:val="00855676"/>
    <w:rsid w:val="0091293E"/>
    <w:rsid w:val="009172CB"/>
    <w:rsid w:val="00927D6B"/>
    <w:rsid w:val="00934392"/>
    <w:rsid w:val="00934EA5"/>
    <w:rsid w:val="009C7384"/>
    <w:rsid w:val="00A00564"/>
    <w:rsid w:val="00A6293A"/>
    <w:rsid w:val="00AB4B1D"/>
    <w:rsid w:val="00B64D21"/>
    <w:rsid w:val="00B74D3A"/>
    <w:rsid w:val="00C22557"/>
    <w:rsid w:val="00C80617"/>
    <w:rsid w:val="00C9462D"/>
    <w:rsid w:val="00CB7261"/>
    <w:rsid w:val="00CC377A"/>
    <w:rsid w:val="00CD5678"/>
    <w:rsid w:val="00CE2C8D"/>
    <w:rsid w:val="00D1575B"/>
    <w:rsid w:val="00D17095"/>
    <w:rsid w:val="00D2384D"/>
    <w:rsid w:val="00D65904"/>
    <w:rsid w:val="00D670D5"/>
    <w:rsid w:val="00DE1345"/>
    <w:rsid w:val="00F249A0"/>
    <w:rsid w:val="00F32F04"/>
    <w:rsid w:val="00F34601"/>
    <w:rsid w:val="00F421C3"/>
    <w:rsid w:val="00F44B40"/>
    <w:rsid w:val="00F46536"/>
    <w:rsid w:val="00FD38C7"/>
    <w:rsid w:val="00FD5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33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3A"/>
  </w:style>
  <w:style w:type="paragraph" w:styleId="Heading1">
    <w:name w:val="heading 1"/>
    <w:basedOn w:val="Normal"/>
    <w:next w:val="Normal"/>
    <w:qFormat/>
    <w:rsid w:val="00A6293A"/>
    <w:pPr>
      <w:keepNext/>
      <w:outlineLvl w:val="0"/>
    </w:pPr>
    <w:rPr>
      <w:sz w:val="24"/>
    </w:rPr>
  </w:style>
  <w:style w:type="paragraph" w:styleId="Heading2">
    <w:name w:val="heading 2"/>
    <w:basedOn w:val="Normal"/>
    <w:next w:val="Normal"/>
    <w:qFormat/>
    <w:rsid w:val="00A6293A"/>
    <w:pPr>
      <w:keepNext/>
      <w:suppressAutoHyphens/>
      <w:jc w:val="both"/>
      <w:outlineLvl w:val="1"/>
    </w:pPr>
    <w:rPr>
      <w:rFonts w:ascii="Arial" w:hAnsi="Arial"/>
      <w:b/>
      <w:spacing w:val="-3"/>
    </w:rPr>
  </w:style>
  <w:style w:type="paragraph" w:styleId="Heading3">
    <w:name w:val="heading 3"/>
    <w:basedOn w:val="Normal"/>
    <w:next w:val="Normal"/>
    <w:qFormat/>
    <w:rsid w:val="00A6293A"/>
    <w:pPr>
      <w:keepNext/>
      <w:suppressAutoHyphens/>
      <w:jc w:val="both"/>
      <w:outlineLvl w:val="2"/>
    </w:pPr>
    <w:rPr>
      <w:rFonts w:ascii="Arial" w:hAnsi="Arial"/>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293A"/>
    <w:pPr>
      <w:tabs>
        <w:tab w:val="center" w:pos="4320"/>
        <w:tab w:val="right" w:pos="8640"/>
      </w:tabs>
    </w:pPr>
    <w:rPr>
      <w:rFonts w:ascii="Univers" w:hAnsi="Univers"/>
      <w:sz w:val="24"/>
    </w:rPr>
  </w:style>
  <w:style w:type="character" w:styleId="PageNumber">
    <w:name w:val="page number"/>
    <w:basedOn w:val="DefaultParagraphFont"/>
    <w:rsid w:val="00A6293A"/>
  </w:style>
  <w:style w:type="paragraph" w:styleId="Footer">
    <w:name w:val="footer"/>
    <w:basedOn w:val="Normal"/>
    <w:rsid w:val="00A6293A"/>
    <w:pPr>
      <w:tabs>
        <w:tab w:val="center" w:pos="4320"/>
        <w:tab w:val="right" w:pos="8640"/>
      </w:tabs>
    </w:pPr>
  </w:style>
  <w:style w:type="paragraph" w:styleId="EndnoteText">
    <w:name w:val="endnote text"/>
    <w:basedOn w:val="Normal"/>
    <w:semiHidden/>
    <w:rsid w:val="00A6293A"/>
    <w:pPr>
      <w:widowControl w:val="0"/>
    </w:pPr>
    <w:rPr>
      <w:rFonts w:ascii="Courier" w:hAnsi="Courier"/>
      <w:snapToGrid w:val="0"/>
      <w:sz w:val="24"/>
    </w:rPr>
  </w:style>
  <w:style w:type="paragraph" w:styleId="BodyTextIndent2">
    <w:name w:val="Body Text Indent 2"/>
    <w:basedOn w:val="Normal"/>
    <w:rsid w:val="00A6293A"/>
    <w:pPr>
      <w:widowControl w:val="0"/>
      <w:tabs>
        <w:tab w:val="left" w:pos="-720"/>
        <w:tab w:val="left" w:pos="0"/>
        <w:tab w:val="left" w:pos="720"/>
        <w:tab w:val="left" w:pos="1440"/>
      </w:tabs>
      <w:suppressAutoHyphens/>
      <w:ind w:left="3600" w:hanging="2160"/>
    </w:pPr>
    <w:rPr>
      <w:rFonts w:ascii="Univers" w:hAnsi="Univers"/>
      <w:snapToGrid w:val="0"/>
      <w:sz w:val="24"/>
    </w:rPr>
  </w:style>
  <w:style w:type="paragraph" w:styleId="BodyText">
    <w:name w:val="Body Text"/>
    <w:basedOn w:val="Normal"/>
    <w:rsid w:val="00A6293A"/>
    <w:pPr>
      <w:widowControl w:val="0"/>
      <w:tabs>
        <w:tab w:val="left" w:pos="-720"/>
        <w:tab w:val="left" w:pos="0"/>
        <w:tab w:val="left" w:pos="720"/>
        <w:tab w:val="left" w:pos="1440"/>
      </w:tabs>
      <w:suppressAutoHyphens/>
    </w:pPr>
    <w:rPr>
      <w:rFonts w:ascii="Univers" w:hAnsi="Univers"/>
      <w:snapToGrid w:val="0"/>
      <w:sz w:val="24"/>
    </w:rPr>
  </w:style>
  <w:style w:type="paragraph" w:styleId="BodyTextIndent">
    <w:name w:val="Body Text Indent"/>
    <w:basedOn w:val="Normal"/>
    <w:rsid w:val="00A6293A"/>
    <w:pPr>
      <w:widowControl w:val="0"/>
      <w:tabs>
        <w:tab w:val="left" w:pos="-720"/>
      </w:tabs>
      <w:suppressAutoHyphens/>
      <w:ind w:left="720"/>
    </w:pPr>
    <w:rPr>
      <w:rFonts w:ascii="Univers" w:hAnsi="Univers"/>
      <w:snapToGrid w:val="0"/>
      <w:sz w:val="24"/>
    </w:rPr>
  </w:style>
  <w:style w:type="paragraph" w:styleId="BodyTextIndent3">
    <w:name w:val="Body Text Indent 3"/>
    <w:basedOn w:val="Normal"/>
    <w:rsid w:val="00A6293A"/>
    <w:pPr>
      <w:tabs>
        <w:tab w:val="left" w:pos="-720"/>
        <w:tab w:val="left" w:pos="0"/>
        <w:tab w:val="left" w:pos="720"/>
      </w:tabs>
      <w:suppressAutoHyphens/>
      <w:ind w:left="1440"/>
      <w:jc w:val="both"/>
    </w:pPr>
    <w:rPr>
      <w:rFonts w:ascii="Univers" w:hAnsi="Univers"/>
      <w:sz w:val="24"/>
    </w:rPr>
  </w:style>
  <w:style w:type="paragraph" w:styleId="BalloonText">
    <w:name w:val="Balloon Text"/>
    <w:basedOn w:val="Normal"/>
    <w:semiHidden/>
    <w:rsid w:val="00A6293A"/>
    <w:rPr>
      <w:rFonts w:ascii="Tahoma" w:hAnsi="Tahoma" w:cs="Tahoma"/>
      <w:sz w:val="16"/>
      <w:szCs w:val="16"/>
    </w:rPr>
  </w:style>
  <w:style w:type="character" w:customStyle="1" w:styleId="HeaderChar">
    <w:name w:val="Header Char"/>
    <w:basedOn w:val="DefaultParagraphFont"/>
    <w:link w:val="Header"/>
    <w:rsid w:val="00B74D3A"/>
    <w:rPr>
      <w:rFonts w:ascii="Univers" w:hAnsi="Univer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ABB46-4354-4145-AF5F-76667FC6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Policy-Telecommuting</vt:lpstr>
    </vt:vector>
  </TitlesOfParts>
  <Company>CMHSIC</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Policy-Telecommuting</dc:title>
  <dc:creator>CMHSIC</dc:creator>
  <cp:lastModifiedBy>mgolden</cp:lastModifiedBy>
  <cp:revision>5</cp:revision>
  <cp:lastPrinted>2015-08-28T14:29:00Z</cp:lastPrinted>
  <dcterms:created xsi:type="dcterms:W3CDTF">2015-08-28T02:03:00Z</dcterms:created>
  <dcterms:modified xsi:type="dcterms:W3CDTF">2015-09-14T20:26:00Z</dcterms:modified>
</cp:coreProperties>
</file>